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ASPECTOS GENERALES </w:t>
      </w:r>
    </w:p>
    <w:tbl>
      <w:tblPr>
        <w:tblStyle w:val="Table1"/>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240"/>
        <w:gridCol w:w="4820"/>
        <w:tblGridChange w:id="0">
          <w:tblGrid>
            <w:gridCol w:w="5240"/>
            <w:gridCol w:w="4820"/>
          </w:tblGrid>
        </w:tblGridChange>
      </w:tblGrid>
      <w:tr>
        <w:trPr>
          <w:cantSplit w:val="0"/>
          <w:tblHeader w:val="0"/>
        </w:trPr>
        <w:tc>
          <w:tcPr/>
          <w:p w:rsidR="00000000" w:rsidDel="00000000" w:rsidP="00000000" w:rsidRDefault="00000000" w:rsidRPr="00000000" w14:paraId="0000000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 DE EXPEDIENTE</w:t>
            </w:r>
          </w:p>
          <w:p w:rsidR="00000000" w:rsidDel="00000000" w:rsidP="00000000" w:rsidRDefault="00000000" w:rsidRPr="00000000" w14:paraId="00000003">
            <w:pPr>
              <w:spacing w:after="0" w:line="240" w:lineRule="auto"/>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04">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202576002100100007E</w:t>
            </w:r>
            <w:r w:rsidDel="00000000" w:rsidR="00000000" w:rsidRPr="00000000">
              <w:rPr>
                <w:rtl w:val="0"/>
              </w:rPr>
            </w:r>
          </w:p>
        </w:tc>
      </w:tr>
      <w:tr>
        <w:trPr>
          <w:cantSplit w:val="0"/>
          <w:tblHeader w:val="0"/>
        </w:trPr>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 de contrato o convenio</w:t>
            </w:r>
          </w:p>
        </w:tc>
        <w:tc>
          <w:tcPr/>
          <w:p w:rsidR="00000000" w:rsidDel="00000000" w:rsidP="00000000" w:rsidRDefault="00000000" w:rsidRPr="00000000" w14:paraId="00000006">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768 DE 2024</w:t>
            </w:r>
            <w:r w:rsidDel="00000000" w:rsidR="00000000" w:rsidRPr="00000000">
              <w:rPr>
                <w:rtl w:val="0"/>
              </w:rPr>
            </w:r>
          </w:p>
        </w:tc>
      </w:tr>
      <w:tr>
        <w:trPr>
          <w:cantSplit w:val="0"/>
          <w:trHeight w:val="335" w:hRule="atLeast"/>
          <w:tblHeader w:val="0"/>
        </w:trPr>
        <w:tc>
          <w:tcPr/>
          <w:p w:rsidR="00000000" w:rsidDel="00000000" w:rsidP="00000000" w:rsidRDefault="00000000" w:rsidRPr="00000000" w14:paraId="00000007">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Tipo de contrato</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CONVENIO INTERADMINISTRATIVO</w:t>
            </w:r>
            <w:r w:rsidDel="00000000" w:rsidR="00000000" w:rsidRPr="00000000">
              <w:rPr>
                <w:rtl w:val="0"/>
              </w:rPr>
            </w:r>
          </w:p>
        </w:tc>
      </w:tr>
      <w:tr>
        <w:trPr>
          <w:cantSplit w:val="0"/>
          <w:tblHeader w:val="0"/>
        </w:trPr>
        <w:tc>
          <w:tcPr/>
          <w:p w:rsidR="00000000" w:rsidDel="00000000" w:rsidP="00000000" w:rsidRDefault="00000000" w:rsidRPr="00000000" w14:paraId="00000009">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Contratista </w:t>
            </w:r>
          </w:p>
        </w:tc>
        <w:tc>
          <w:tcPr/>
          <w:p w:rsidR="00000000" w:rsidDel="00000000" w:rsidP="00000000" w:rsidRDefault="00000000" w:rsidRPr="00000000" w14:paraId="0000000A">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ASOCIACIÓN NACIONAL </w:t>
            </w:r>
            <w:r w:rsidDel="00000000" w:rsidR="00000000" w:rsidRPr="00000000">
              <w:rPr>
                <w:rFonts w:ascii="Arial" w:cs="Arial" w:eastAsia="Arial" w:hAnsi="Arial"/>
                <w:sz w:val="24"/>
                <w:szCs w:val="24"/>
                <w:rtl w:val="0"/>
              </w:rPr>
              <w:t xml:space="preserve">DE LAS ARTES</w:t>
            </w:r>
          </w:p>
        </w:tc>
      </w:tr>
      <w:tr>
        <w:trPr>
          <w:cantSplit w:val="0"/>
          <w:tblHeader w:val="0"/>
        </w:trPr>
        <w:tc>
          <w:tcPr/>
          <w:p w:rsidR="00000000" w:rsidDel="00000000" w:rsidP="00000000" w:rsidRDefault="00000000" w:rsidRPr="00000000" w14:paraId="0000000B">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Objeto del contrato </w:t>
            </w:r>
          </w:p>
          <w:p w:rsidR="00000000" w:rsidDel="00000000" w:rsidP="00000000" w:rsidRDefault="00000000" w:rsidRPr="00000000" w14:paraId="0000000C">
            <w:pPr>
              <w:spacing w:after="0" w:line="240" w:lineRule="auto"/>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0" w:before="5" w:line="240" w:lineRule="auto"/>
              <w:ind w:right="84"/>
              <w:rPr>
                <w:rFonts w:ascii="Times New Roman" w:cs="Times New Roman" w:eastAsia="Times New Roman" w:hAnsi="Times New Roman"/>
                <w:color w:val="000000"/>
                <w:sz w:val="24"/>
                <w:szCs w:val="24"/>
              </w:rPr>
            </w:pPr>
            <w:r w:rsidDel="00000000" w:rsidR="00000000" w:rsidRPr="00000000">
              <w:rPr>
                <w:rFonts w:ascii="Arial" w:cs="Arial" w:eastAsia="Arial" w:hAnsi="Arial"/>
                <w:color w:val="000000"/>
                <w:sz w:val="24"/>
                <w:szCs w:val="24"/>
                <w:rtl w:val="0"/>
              </w:rPr>
              <w:t xml:space="preserve">“Aunar esfuerzos institucionales, administrativos, técnicos, financieros y tecnológicos entre la Secretaría Distrital de Cultura Recreación y Deporte y la Asociación Nacional de Música Sinfónica, para la estructuración, preparación, lanzamiento, divulgación y previsión en general del Concurso Internacional de Violín 2025” </w:t>
            </w: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0E">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Plazo del contrato</w:t>
            </w:r>
          </w:p>
        </w:tc>
        <w:tc>
          <w:tcPr/>
          <w:p w:rsidR="00000000" w:rsidDel="00000000" w:rsidP="00000000" w:rsidRDefault="00000000" w:rsidRPr="00000000" w14:paraId="0000000F">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Desde 6/12/2024 hasta el 31/12/2025</w:t>
            </w:r>
            <w:r w:rsidDel="00000000" w:rsidR="00000000" w:rsidRPr="00000000">
              <w:rPr>
                <w:rtl w:val="0"/>
              </w:rPr>
            </w:r>
          </w:p>
        </w:tc>
      </w:tr>
      <w:tr>
        <w:trPr>
          <w:cantSplit w:val="0"/>
          <w:trHeight w:val="681" w:hRule="atLeast"/>
          <w:tblHeader w:val="0"/>
        </w:trPr>
        <w:tc>
          <w:tcPr/>
          <w:p w:rsidR="00000000" w:rsidDel="00000000" w:rsidP="00000000" w:rsidRDefault="00000000" w:rsidRPr="00000000" w14:paraId="00000010">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Fecha del cumplimiento de los requisitos de ejecución</w:t>
            </w:r>
          </w:p>
        </w:tc>
        <w:tc>
          <w:tcPr/>
          <w:p w:rsidR="00000000" w:rsidDel="00000000" w:rsidP="00000000" w:rsidRDefault="00000000" w:rsidRPr="00000000" w14:paraId="00000011">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06/12/2024</w:t>
            </w:r>
            <w:r w:rsidDel="00000000" w:rsidR="00000000" w:rsidRPr="00000000">
              <w:rPr>
                <w:rtl w:val="0"/>
              </w:rPr>
            </w:r>
          </w:p>
        </w:tc>
      </w:tr>
      <w:tr>
        <w:trPr>
          <w:cantSplit w:val="0"/>
          <w:trHeight w:val="988" w:hRule="atLeast"/>
          <w:tblHeader w:val="0"/>
        </w:trPr>
        <w:tc>
          <w:tcPr/>
          <w:p w:rsidR="00000000" w:rsidDel="00000000" w:rsidP="00000000" w:rsidRDefault="00000000" w:rsidRPr="00000000" w14:paraId="0000001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Fecha de inicio de cobertura de la ARL (esto para contratos de prestación de servicios profesionales y de apoyo a la gestión)</w:t>
            </w:r>
          </w:p>
        </w:tc>
        <w:tc>
          <w:tcPr/>
          <w:p w:rsidR="00000000" w:rsidDel="00000000" w:rsidP="00000000" w:rsidRDefault="00000000" w:rsidRPr="00000000" w14:paraId="00000013">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N/A</w:t>
            </w:r>
            <w:r w:rsidDel="00000000" w:rsidR="00000000" w:rsidRPr="00000000">
              <w:rPr>
                <w:rtl w:val="0"/>
              </w:rPr>
            </w:r>
          </w:p>
        </w:tc>
      </w:tr>
      <w:tr>
        <w:trPr>
          <w:cantSplit w:val="0"/>
          <w:tblHeader w:val="0"/>
        </w:trPr>
        <w:tc>
          <w:tcPr/>
          <w:p w:rsidR="00000000" w:rsidDel="00000000" w:rsidP="00000000" w:rsidRDefault="00000000" w:rsidRPr="00000000" w14:paraId="00000014">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Fecha de inicio </w:t>
            </w:r>
          </w:p>
        </w:tc>
        <w:tc>
          <w:tcPr/>
          <w:p w:rsidR="00000000" w:rsidDel="00000000" w:rsidP="00000000" w:rsidRDefault="00000000" w:rsidRPr="00000000" w14:paraId="00000015">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6/12/2024</w:t>
            </w:r>
            <w:r w:rsidDel="00000000" w:rsidR="00000000" w:rsidRPr="00000000">
              <w:rPr>
                <w:rtl w:val="0"/>
              </w:rPr>
            </w:r>
          </w:p>
        </w:tc>
      </w:tr>
      <w:tr>
        <w:trPr>
          <w:cantSplit w:val="0"/>
          <w:tblHeader w:val="0"/>
        </w:trPr>
        <w:tc>
          <w:tcPr/>
          <w:p w:rsidR="00000000" w:rsidDel="00000000" w:rsidP="00000000" w:rsidRDefault="00000000" w:rsidRPr="00000000" w14:paraId="00000016">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Fecha de terminación</w:t>
            </w:r>
          </w:p>
        </w:tc>
        <w:tc>
          <w:tcPr/>
          <w:p w:rsidR="00000000" w:rsidDel="00000000" w:rsidP="00000000" w:rsidRDefault="00000000" w:rsidRPr="00000000" w14:paraId="00000017">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31/12/2025</w:t>
            </w:r>
            <w:r w:rsidDel="00000000" w:rsidR="00000000" w:rsidRPr="00000000">
              <w:rPr>
                <w:rtl w:val="0"/>
              </w:rPr>
            </w:r>
          </w:p>
        </w:tc>
      </w:tr>
      <w:tr>
        <w:trPr>
          <w:cantSplit w:val="0"/>
          <w:tblHeader w:val="0"/>
        </w:trPr>
        <w:tc>
          <w:tcPr/>
          <w:p w:rsidR="00000000" w:rsidDel="00000000" w:rsidP="00000000" w:rsidRDefault="00000000" w:rsidRPr="00000000" w14:paraId="0000001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Período analizado o certificado (dd/mm/aa)</w:t>
            </w:r>
          </w:p>
        </w:tc>
        <w:tc>
          <w:tcPr/>
          <w:p w:rsidR="00000000" w:rsidDel="00000000" w:rsidP="00000000" w:rsidRDefault="00000000" w:rsidRPr="00000000" w14:paraId="00000019">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DEL 01/12/2025 AL 31/12/2025</w:t>
            </w:r>
            <w:r w:rsidDel="00000000" w:rsidR="00000000" w:rsidRPr="00000000">
              <w:rPr>
                <w:rtl w:val="0"/>
              </w:rPr>
            </w:r>
          </w:p>
        </w:tc>
      </w:tr>
      <w:tr>
        <w:trPr>
          <w:cantSplit w:val="0"/>
          <w:trHeight w:val="1910" w:hRule="atLeast"/>
          <w:tblHeader w:val="0"/>
        </w:trPr>
        <w:tc>
          <w:tcPr/>
          <w:p w:rsidR="00000000" w:rsidDel="00000000" w:rsidP="00000000" w:rsidRDefault="00000000" w:rsidRPr="00000000" w14:paraId="0000001A">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Estado de la Garantía. (Se deberá dejar constancia si la garantía se encuentra vigente o no de conformidad con lo exigido en el contrato, así mismo en el evento en que la garantía haya tenido actualizaciones con ocasión a alguna modificación deberá señalarse tal situación e incorporar la fecha de aprobación de la modificación de la garantía)</w:t>
            </w:r>
          </w:p>
        </w:tc>
        <w:tc>
          <w:tcPr/>
          <w:p w:rsidR="00000000" w:rsidDel="00000000" w:rsidP="00000000" w:rsidRDefault="00000000" w:rsidRPr="00000000" w14:paraId="0000001B">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N/A</w:t>
            </w:r>
            <w:r w:rsidDel="00000000" w:rsidR="00000000" w:rsidRPr="00000000">
              <w:rPr>
                <w:rtl w:val="0"/>
              </w:rPr>
            </w:r>
          </w:p>
        </w:tc>
      </w:tr>
    </w:tbl>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1">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INFORME SOBRE EJECUCIÓN Y AVANCE DEL CONTRATO</w:t>
      </w:r>
    </w:p>
    <w:p w:rsidR="00000000" w:rsidDel="00000000" w:rsidP="00000000" w:rsidRDefault="00000000" w:rsidRPr="00000000" w14:paraId="00000022">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A continuación, se procede a rendir el informe sobre la ejecución y cumplimiento del objeto contratado y cada una de las obligaciones pactadas así:  </w:t>
      </w:r>
    </w:p>
    <w:p w:rsidR="00000000" w:rsidDel="00000000" w:rsidP="00000000" w:rsidRDefault="00000000" w:rsidRPr="00000000" w14:paraId="0000002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1: </w:t>
      </w:r>
    </w:p>
    <w:tbl>
      <w:tblPr>
        <w:tblStyle w:val="Table2"/>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24">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2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35" w:hRule="atLeast"/>
          <w:tblHeader w:val="0"/>
        </w:trPr>
        <w:tc>
          <w:tcPr/>
          <w:p w:rsidR="00000000" w:rsidDel="00000000" w:rsidP="00000000" w:rsidRDefault="00000000" w:rsidRPr="00000000" w14:paraId="00000026">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Desarrollar las actividades definidas en el Anexo Técnico y el plan de trabajo aprobado en el comité técnico, adelantando los procesos de selección, las alianzas estratégicas y las contrataciones pertinentes.</w:t>
            </w:r>
            <w:r w:rsidDel="00000000" w:rsidR="00000000" w:rsidRPr="00000000">
              <w:rPr>
                <w:rtl w:val="0"/>
              </w:rPr>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Durante el mes de diciembre de 2025 se culminaron las actividades previstas en el Anexo Técnico y en el plan de trabajo, enfocadas en el cierre integral del Concurso Internacional de Violín Ciudad de Bogotá 2025. En este periodo se consolidaron los resultados artísticos y operativos de las rondas presenciales realizadas en noviembre, así como la validación de los procesos contractuales asociados a jurados, artistas, proveedores logísticos y productoras vinculadas al desarrollo del evento, garantizando que todas las actuaciones se encontraran alineadas con lo aprobado por el comité técnico.</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Adicionalmente, se realizó el balance final de las alianzas estratégicas establecidas con entidades culturales, académicas, gubernamentales y patrocinadores, verificando el cumplimiento de los compromisos adquiridos y dejando organizados los soportes contractuales y administrativos que evidencian la correcta ejecución de esta obligación, como parte del cierre del objeto contractual.</w:t>
            </w:r>
          </w:p>
        </w:tc>
      </w:tr>
    </w:tbl>
    <w:p w:rsidR="00000000" w:rsidDel="00000000" w:rsidP="00000000" w:rsidRDefault="00000000" w:rsidRPr="00000000" w14:paraId="0000002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2: </w:t>
      </w:r>
    </w:p>
    <w:tbl>
      <w:tblPr>
        <w:tblStyle w:val="Table3"/>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2B">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2C">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2D">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Disponer de los recursos humanos, técnicos, tecnológicos, operativos y logísticos, para el desarrollo de las actividades a su cargo, según lo que se indique en el Anexo Técnico del Convenio. </w:t>
            </w:r>
            <w:r w:rsidDel="00000000" w:rsidR="00000000" w:rsidRPr="00000000">
              <w:rPr>
                <w:rtl w:val="0"/>
              </w:rPr>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 diciembre se efectuó el cierre de las vinculaciones del recurso humano, técnico y logístico dispuesto para el desarrollo del Concurso y las clases magistrales, verificando la correcta prestación de los servicios contratados en noviembre y adelantando los trámites administrativos de finalización de contratos, actas de recibo y conformidades. Este proceso permitió dejar evidencia del cumplimiento integral de las necesidades operativas que demandó el proyecto en su fase final.</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before="4" w:line="240" w:lineRule="auto"/>
              <w:ind w:left="112" w:firstLine="0"/>
              <w:jc w:val="both"/>
              <w:rPr>
                <w:rFonts w:ascii="Times New Roman" w:cs="Times New Roman" w:eastAsia="Times New Roman" w:hAnsi="Times New Roman"/>
                <w:color w:val="000000"/>
                <w:sz w:val="24"/>
                <w:szCs w:val="24"/>
              </w:rPr>
            </w:pPr>
            <w:r w:rsidDel="00000000" w:rsidR="00000000" w:rsidRPr="00000000">
              <w:rPr>
                <w:rFonts w:ascii="Arial" w:cs="Arial" w:eastAsia="Arial" w:hAnsi="Arial"/>
                <w:color w:val="000000"/>
                <w:sz w:val="24"/>
                <w:szCs w:val="24"/>
                <w:rtl w:val="0"/>
              </w:rPr>
              <w:t xml:space="preserve">De igual forma, se consolidó el inventario de servicios tecnológicos y logísticos utilizados para la transmisión, producción audiovisual y atención a participantes y jurados, garantizando que no quedaran pendientes operativos y que toda la infraestructura dispuesta cumpliera con los estándares definidos en el Anexo Técnico del Convenio.</w:t>
            </w:r>
            <w:r w:rsidDel="00000000" w:rsidR="00000000" w:rsidRPr="00000000">
              <w:rPr>
                <w:rtl w:val="0"/>
              </w:rPr>
            </w:r>
          </w:p>
        </w:tc>
      </w:tr>
    </w:tbl>
    <w:p w:rsidR="00000000" w:rsidDel="00000000" w:rsidP="00000000" w:rsidRDefault="00000000" w:rsidRPr="00000000" w14:paraId="0000003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3: </w:t>
      </w:r>
    </w:p>
    <w:tbl>
      <w:tblPr>
        <w:tblStyle w:val="Table4"/>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3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33">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34">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Adelantar las actividades necesarias para contar con el recurso humano idóneo, capacitado y pertinente que realizará la Coordinación de Producción y que debe ser Aprobado por el Comité técnico. </w:t>
            </w:r>
            <w:r w:rsidDel="00000000" w:rsidR="00000000" w:rsidRPr="00000000">
              <w:rPr>
                <w:rtl w:val="0"/>
              </w:rPr>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Durante el periodo de diciembre se realizó el cierre técnico de las actividades desarrolladas por la coordinación de producción, verificando que el equipo humano vinculado cumpliera a cabalidad con las funciones asignadas durante las rondas presenciales, la final del Concurso y las clases magistrales. Se consolidaron los informes internos de gestión y las actas de cierre de los procesos operativos adelantados por este equipo.</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Asimismo, se dejó organizada la documentación soporte que evidencia la idoneidad del personal vinculado y la aprobación por parte del comité técnico, garantizando que las actividades de producción se ejecutaron conforme a lo planeado y que los resultados alcanzados responden a los estándares de calidad definidos para el proyecto.</w:t>
            </w:r>
            <w:r w:rsidDel="00000000" w:rsidR="00000000" w:rsidRPr="00000000">
              <w:rPr>
                <w:rtl w:val="0"/>
              </w:rPr>
            </w:r>
          </w:p>
        </w:tc>
      </w:tr>
    </w:tbl>
    <w:p w:rsidR="00000000" w:rsidDel="00000000" w:rsidP="00000000" w:rsidRDefault="00000000" w:rsidRPr="00000000" w14:paraId="0000003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4: </w:t>
      </w:r>
    </w:p>
    <w:tbl>
      <w:tblPr>
        <w:tblStyle w:val="Table5"/>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39">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3A">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3B">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Participar en el comité técnico y acoger las recomendaciones que se impartan en tal instancia.</w:t>
            </w:r>
            <w:r w:rsidDel="00000000" w:rsidR="00000000" w:rsidRPr="00000000">
              <w:rPr>
                <w:rtl w:val="0"/>
              </w:rPr>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0" w:line="240" w:lineRule="auto"/>
              <w:ind w:left="36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 diciembre de 2025 se realizó el seguimiento a las recomendaciones emitidas por el comité técnico en las sesiones previas, especialmente aquellas relacionadas con el cierre del proyecto, la consolidación de resultados y la organización de los soportes finales. Aunque no se convocaron nuevos comités en este periodo, se mantuvo la articulación entre las partes para garantizar que las decisiones adoptadas fueran implementadas de manera integral.</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line="240" w:lineRule="auto"/>
              <w:ind w:left="36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before="4" w:line="240" w:lineRule="auto"/>
              <w:ind w:left="36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Este acompañamiento permitió asegurar que todas las acciones de cierre se desarrollaran en coherencia con los lineamientos técnicos definidos durante la ejecución del Convenio, dejando constancia del cumplimiento de las orientaciones impartidas por dicha instancia.</w:t>
            </w:r>
          </w:p>
        </w:tc>
      </w:tr>
    </w:tbl>
    <w:p w:rsidR="00000000" w:rsidDel="00000000" w:rsidP="00000000" w:rsidRDefault="00000000" w:rsidRPr="00000000" w14:paraId="0000003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5: </w:t>
      </w:r>
    </w:p>
    <w:tbl>
      <w:tblPr>
        <w:tblStyle w:val="Table6"/>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41">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4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43">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Ejecutar las actividades propuestas en el plan de trabajo aprobado en el comité técnico, de acuerdo con su participación y competencias en el convenio.</w:t>
            </w:r>
            <w:r w:rsidDel="00000000" w:rsidR="00000000" w:rsidRPr="00000000">
              <w:rPr>
                <w:rtl w:val="0"/>
              </w:rPr>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Durante el mes de diciembre se culminaron las actividades previstas en el plan de trabajo, enfocadas en el cierre operativo del Concurso, la entrega de los violines a los estudiantes destacados, la finalización del cortometraje documental y la consolidación de las evidencias de las transmisiones realizadas. Estas acciones permitieron dar por ejecutadas la totalidad de las actividades misionales del Convenio.</w:t>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Adicionalmente, se realizó la recopilación, organización y validación de los soportes técnicos, administrativos y audiovisuales que evidencian la ejecución de cada una de las fases del proyecto, dejando un archivo completo que respalda el cumplimiento integral del plan de trabajo aprobado.</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0" w:before="4"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 evidencia de esta actividad se encuentra disponible en el siguiente enlace:</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0" w:before="4" w:line="240" w:lineRule="auto"/>
              <w:ind w:left="112" w:firstLine="0"/>
              <w:jc w:val="both"/>
              <w:rPr>
                <w:rFonts w:ascii="Times New Roman" w:cs="Times New Roman" w:eastAsia="Times New Roman" w:hAnsi="Times New Roman"/>
                <w:color w:val="000000"/>
                <w:sz w:val="24"/>
                <w:szCs w:val="24"/>
              </w:rPr>
            </w:pPr>
            <w:hyperlink r:id="rId7">
              <w:r w:rsidDel="00000000" w:rsidR="00000000" w:rsidRPr="00000000">
                <w:rPr>
                  <w:rFonts w:ascii="Arial" w:cs="Arial" w:eastAsia="Arial" w:hAnsi="Arial"/>
                  <w:color w:val="0000ff"/>
                  <w:sz w:val="24"/>
                  <w:szCs w:val="24"/>
                  <w:u w:val="single"/>
                  <w:rtl w:val="0"/>
                </w:rPr>
                <w:t xml:space="preserve">https://docs.google.com/spreadsheets/d/1SkzSlINJPpQuOfFd2uWO8uA2Vm-Emdk-WRklE2ulI7A/edit?usp=drive_link</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r>
    </w:tbl>
    <w:p w:rsidR="00000000" w:rsidDel="00000000" w:rsidP="00000000" w:rsidRDefault="00000000" w:rsidRPr="00000000" w14:paraId="0000004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6: </w:t>
      </w:r>
    </w:p>
    <w:tbl>
      <w:tblPr>
        <w:tblStyle w:val="Table7"/>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4B">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4C">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4D">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Elaborar el presupuesto del proyecto y un cronograma de actividades, los cuales deben ser concertados con el supervisor del convenio y/o el equipo que se designe para dicho fin por éste, y se someterá a aprobación del comité técnico.</w:t>
            </w: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0" w:line="240" w:lineRule="auto"/>
              <w:ind w:right="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 diciembre se adelantó el cierre financiero del proyecto, consolidando la ejecución presupuestal definitiva del Concurso con corte al 31 de diciembre de 2025, en articulación con la supervisión del Convenio y las entidades aliadas. Este ejercicio permitió verificar la correspondencia entre los recursos ejecutados y las actividades desarrolladas, garantizando la adecuada utilización de los aportes institucionales.</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0" w:line="240" w:lineRule="auto"/>
              <w:ind w:right="83"/>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line="240" w:lineRule="auto"/>
              <w:ind w:right="83"/>
              <w:jc w:val="both"/>
              <w:rPr>
                <w:rFonts w:ascii="Times New Roman" w:cs="Times New Roman" w:eastAsia="Times New Roman" w:hAnsi="Times New Roman"/>
                <w:color w:val="000000"/>
                <w:sz w:val="24"/>
                <w:szCs w:val="24"/>
              </w:rPr>
            </w:pPr>
            <w:r w:rsidDel="00000000" w:rsidR="00000000" w:rsidRPr="00000000">
              <w:rPr>
                <w:rFonts w:ascii="Arial" w:cs="Arial" w:eastAsia="Arial" w:hAnsi="Arial"/>
                <w:color w:val="000000"/>
                <w:sz w:val="24"/>
                <w:szCs w:val="24"/>
                <w:rtl w:val="0"/>
              </w:rPr>
              <w:t xml:space="preserve">Asimismo, se dejó actualizado el cronograma final de actividades, reflejando el cumplimiento de los hitos establecidos y la culminación de todas las acciones previstas, información que quedó organizada en el expediente contractual como soporte del cierre presupuestal.</w:t>
            </w: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0" w:line="240" w:lineRule="auto"/>
              <w:ind w:right="83"/>
              <w:jc w:val="both"/>
              <w:rPr>
                <w:rFonts w:ascii="Times New Roman" w:cs="Times New Roman" w:eastAsia="Times New Roman" w:hAnsi="Times New Roman"/>
                <w:color w:val="000000"/>
                <w:sz w:val="24"/>
                <w:szCs w:val="24"/>
              </w:rPr>
            </w:pPr>
            <w:r w:rsidDel="00000000" w:rsidR="00000000" w:rsidRPr="00000000">
              <w:rPr>
                <w:rFonts w:ascii="Arial" w:cs="Arial" w:eastAsia="Arial" w:hAnsi="Arial"/>
                <w:color w:val="000000"/>
                <w:sz w:val="24"/>
                <w:szCs w:val="24"/>
                <w:rtl w:val="0"/>
              </w:rPr>
              <w:t xml:space="preserve"> </w:t>
              <w:br w:type="textWrapping"/>
            </w:r>
            <w:r w:rsidDel="00000000" w:rsidR="00000000" w:rsidRPr="00000000">
              <w:rPr>
                <w:rFonts w:ascii="Arial" w:cs="Arial" w:eastAsia="Arial" w:hAnsi="Arial"/>
                <w:sz w:val="24"/>
                <w:szCs w:val="24"/>
                <w:rtl w:val="0"/>
              </w:rPr>
              <w:t xml:space="preserve">La ejecución del </w:t>
            </w:r>
            <w:r w:rsidDel="00000000" w:rsidR="00000000" w:rsidRPr="00000000">
              <w:rPr>
                <w:rFonts w:ascii="Arial" w:cs="Arial" w:eastAsia="Arial" w:hAnsi="Arial"/>
                <w:color w:val="000000"/>
                <w:sz w:val="24"/>
                <w:szCs w:val="24"/>
                <w:rtl w:val="0"/>
              </w:rPr>
              <w:t xml:space="preserve">presupuesto con corte al 31 de </w:t>
            </w:r>
            <w:r w:rsidDel="00000000" w:rsidR="00000000" w:rsidRPr="00000000">
              <w:rPr>
                <w:rFonts w:ascii="Arial" w:cs="Arial" w:eastAsia="Arial" w:hAnsi="Arial"/>
                <w:sz w:val="24"/>
                <w:szCs w:val="24"/>
                <w:rtl w:val="0"/>
              </w:rPr>
              <w:t xml:space="preserve">diciembre</w:t>
            </w:r>
            <w:r w:rsidDel="00000000" w:rsidR="00000000" w:rsidRPr="00000000">
              <w:rPr>
                <w:rFonts w:ascii="Arial" w:cs="Arial" w:eastAsia="Arial" w:hAnsi="Arial"/>
                <w:color w:val="000000"/>
                <w:sz w:val="24"/>
                <w:szCs w:val="24"/>
                <w:rtl w:val="0"/>
              </w:rPr>
              <w:t xml:space="preserve"> se encuentra en la plataforma Orfeo en el expediente 202576002100100007E.</w:t>
            </w:r>
            <w:r w:rsidDel="00000000" w:rsidR="00000000" w:rsidRPr="00000000">
              <w:rPr>
                <w:rtl w:val="0"/>
              </w:rPr>
            </w:r>
          </w:p>
        </w:tc>
      </w:tr>
    </w:tbl>
    <w:p w:rsidR="00000000" w:rsidDel="00000000" w:rsidP="00000000" w:rsidRDefault="00000000" w:rsidRPr="00000000" w14:paraId="0000005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7: </w:t>
      </w:r>
    </w:p>
    <w:tbl>
      <w:tblPr>
        <w:tblStyle w:val="Table8"/>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54">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5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56">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Elaborar informes de ejecución mensual con el fin de informar a la contraparte sobre uso de recursos, informar sobre los inscritos y seleccionados al concurso, además del trabajo con eventuales patrocinadores.</w:t>
            </w:r>
            <w:r w:rsidDel="00000000" w:rsidR="00000000" w:rsidRPr="00000000">
              <w:rPr>
                <w:rtl w:val="0"/>
              </w:rPr>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0" w:before="4"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Durante el periodo de diciembre se elaboró y consolidó el informe final de ejecución correspondiente al último mes del Convenio, en el cual se integraron los resultados financieros, técnicos y administrativos del proyecto. Este informe complementa los remitidos entre febrero y noviembre, permitiendo presentar una visión integral del comportamiento del Convenio durante toda su vigencia.</w:t>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0" w:before="4"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0" w:before="4"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 igual forma, se verificó que la totalidad de los informes se encontraran radicados y publicados en el expediente 202576002100100007E, garantizando la trazabilidad de la información y el cumplimiento de esta obligación como parte del cierre documental del proceso.</w:t>
            </w:r>
          </w:p>
        </w:tc>
      </w:tr>
    </w:tbl>
    <w:p w:rsidR="00000000" w:rsidDel="00000000" w:rsidP="00000000" w:rsidRDefault="00000000" w:rsidRPr="00000000" w14:paraId="0000005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8: </w:t>
      </w:r>
    </w:p>
    <w:tbl>
      <w:tblPr>
        <w:tblStyle w:val="Table9"/>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5C">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5D">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5E">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Diseñar y ejecutar la convocatoria internacional, de acuerdo a las pautas definidas en el anexo técnico, dando respuesta a aspirantes y demás interesados. El diseño de la convocatoria se concertará con el supervisor y/o el equipo que se designe para dicho fin por éste y se someterá a aprobación del comité técnico.</w:t>
            </w:r>
            <w:r w:rsidDel="00000000" w:rsidR="00000000" w:rsidRPr="00000000">
              <w:rPr>
                <w:rtl w:val="0"/>
              </w:rPr>
            </w:r>
          </w:p>
        </w:tc>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0" w:before="3"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 diciembre se dio cierre formal al proceso de convocatoria internacional, dejando consolidados los resultados definitivos del Concurso, las actas de evaluación y los listados de participantes y ganadores. Este periodo se destinó a la organización y archivo de las evidencias que soportan la correcta ejecución de la convocatoria y su desarrollo conforme al reglamento aprobado.</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0" w:before="3"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0" w:before="3"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Adicionalmente, se atendieron las comunicaciones finales con participantes y entidades interesadas, brindando retroalimentación y asegurando la adecuada socialización de los resultados del Concurso como parte del cierre del proceso.</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0" w:before="3"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0" w:before="3"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 evidencia de este proceso está disponible en el siguiente enlace:</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0" w:before="3"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0" w:before="4" w:line="240" w:lineRule="auto"/>
              <w:jc w:val="both"/>
              <w:rPr>
                <w:rFonts w:ascii="Times New Roman" w:cs="Times New Roman" w:eastAsia="Times New Roman" w:hAnsi="Times New Roman"/>
                <w:color w:val="000000"/>
                <w:sz w:val="24"/>
                <w:szCs w:val="24"/>
              </w:rPr>
            </w:pPr>
            <w:hyperlink r:id="rId8">
              <w:r w:rsidDel="00000000" w:rsidR="00000000" w:rsidRPr="00000000">
                <w:rPr>
                  <w:rFonts w:ascii="Arial" w:cs="Arial" w:eastAsia="Arial" w:hAnsi="Arial"/>
                  <w:color w:val="0000ff"/>
                  <w:sz w:val="24"/>
                  <w:szCs w:val="24"/>
                  <w:u w:val="single"/>
                  <w:rtl w:val="0"/>
                </w:rPr>
                <w:t xml:space="preserve">https://drive.google.com/drive/folders/1dXuoWyr6Y217GbpEcjME8OpFfsHKAnmg?usp=drive_link</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r>
    </w:tbl>
    <w:p w:rsidR="00000000" w:rsidDel="00000000" w:rsidP="00000000" w:rsidRDefault="00000000" w:rsidRPr="00000000" w14:paraId="0000006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9: </w:t>
      </w:r>
    </w:p>
    <w:tbl>
      <w:tblPr>
        <w:tblStyle w:val="Table10"/>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6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69">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6A">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Realizar la entrega de los premios a los ganadores del concurso de acuerdo a las especificaciones determinadas en el anexo técnico, según lineamientos que establezca la SCRD.</w:t>
            </w:r>
            <w:r w:rsidDel="00000000" w:rsidR="00000000" w:rsidRPr="00000000">
              <w:rPr>
                <w:rtl w:val="0"/>
              </w:rPr>
            </w:r>
          </w:p>
        </w:tc>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Durante el mes de diciembre se realizó el seguimiento al trámite administrativo para el desembolso de los premios a los ganadores del Concurso, verificando que la documentación solicitada en noviembre se encontrara completa y conforme a los requisitos establecidos. Este proceso permitió dejar en gestión final la entrega de los estímulos económicos a través de la entidad aliada encargada.</w:t>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 ello, se garantizó que el proceso de premiación avanzara de manera ordenada y conforme a los lineamientos definidos en el Anexo Técnico y por la SCRD, dejando evidenciado el cumplimiento de esta obligación en su fase de cierre.</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 evidencia de esta actividad se encuentra disponible en el siguiente enlace:</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hyperlink r:id="rId9">
              <w:r w:rsidDel="00000000" w:rsidR="00000000" w:rsidRPr="00000000">
                <w:rPr>
                  <w:rFonts w:ascii="Arial" w:cs="Arial" w:eastAsia="Arial" w:hAnsi="Arial"/>
                  <w:color w:val="0000ff"/>
                  <w:sz w:val="24"/>
                  <w:szCs w:val="24"/>
                  <w:u w:val="single"/>
                  <w:rtl w:val="0"/>
                </w:rPr>
                <w:t xml:space="preserve">https://drive.google.com/drive/folders/1Nc2uhKJctRyUnfznJGimY_BFNL_67Su-?usp=drive_link</w:t>
              </w:r>
            </w:hyperlink>
            <w:r w:rsidDel="00000000" w:rsidR="00000000" w:rsidRPr="00000000">
              <w:rPr>
                <w:rFonts w:ascii="Arial" w:cs="Arial" w:eastAsia="Arial" w:hAnsi="Arial"/>
                <w:color w:val="000000"/>
                <w:sz w:val="24"/>
                <w:szCs w:val="24"/>
                <w:rtl w:val="0"/>
              </w:rPr>
              <w:t xml:space="preserve"> </w:t>
            </w:r>
          </w:p>
        </w:tc>
      </w:tr>
    </w:tbl>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10: </w:t>
      </w:r>
    </w:p>
    <w:tbl>
      <w:tblPr>
        <w:tblStyle w:val="Table11"/>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74">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7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76">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Diseñar y ejecutar las condiciones generales de participación, elaboración del repertorio del concurso, y comisión de obra destinada a ser interpretada durante el concurso, las cuales deberán ser concertadas con el supervisor y/o el equipo que se designe para dicho fin por éste y se someterá a aprobación del comité técnico</w:t>
            </w:r>
            <w:r w:rsidDel="00000000" w:rsidR="00000000" w:rsidRPr="00000000">
              <w:rPr>
                <w:rtl w:val="0"/>
              </w:rPr>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 diciembre se consolidó el cierre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del Concurso, dejando documentados los repertorios interpretados, la obra comisionada y las condiciones generales de participación aplicadas durante las diferentes rondas. Este ejercicio permitió organizar los soportes que evidencian la correcta ejecución de los lineamientos artísticos definidos para el evento.</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Asimismo, se realizó la sistematización de la información técnica y musical generada durante el Concurso, como insumo para la memoria del proyecto y para futuros procesos institucionales relacionados con el fortalecimiento de la música sinfónica en el país.</w:t>
            </w:r>
          </w:p>
        </w:tc>
      </w:tr>
    </w:tbl>
    <w:p w:rsidR="00000000" w:rsidDel="00000000" w:rsidP="00000000" w:rsidRDefault="00000000" w:rsidRPr="00000000" w14:paraId="0000007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11: </w:t>
      </w:r>
    </w:p>
    <w:tbl>
      <w:tblPr>
        <w:tblStyle w:val="Table12"/>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7C">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7D">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before="4" w:line="240" w:lineRule="auto"/>
              <w:ind w:left="110" w:right="86" w:firstLine="0"/>
              <w:jc w:val="both"/>
              <w:rPr>
                <w:rFonts w:ascii="Times New Roman" w:cs="Times New Roman" w:eastAsia="Times New Roman" w:hAnsi="Times New Roman"/>
                <w:color w:val="000000"/>
                <w:sz w:val="24"/>
                <w:szCs w:val="24"/>
              </w:rPr>
            </w:pPr>
            <w:r w:rsidDel="00000000" w:rsidR="00000000" w:rsidRPr="00000000">
              <w:rPr>
                <w:rFonts w:ascii="Arial" w:cs="Arial" w:eastAsia="Arial" w:hAnsi="Arial"/>
                <w:color w:val="000000"/>
                <w:sz w:val="24"/>
                <w:szCs w:val="24"/>
                <w:rtl w:val="0"/>
              </w:rPr>
              <w:t xml:space="preserve">Gestionar y seguir la relación con patrocinadores</w:t>
            </w:r>
            <w:r w:rsidDel="00000000" w:rsidR="00000000" w:rsidRPr="00000000">
              <w:rPr>
                <w:rtl w:val="0"/>
              </w:rPr>
            </w:r>
          </w:p>
          <w:p w:rsidR="00000000" w:rsidDel="00000000" w:rsidP="00000000" w:rsidRDefault="00000000" w:rsidRPr="00000000" w14:paraId="0000007F">
            <w:pPr>
              <w:spacing w:after="0" w:line="240" w:lineRule="auto"/>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240" w:before="24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Durante el periodo de diciembre se realizó el cierre de las gestiones adelantadas con los patrocinadores y aliados estratégicos, verificando el cumplimiento de los compromisos adquiridos, especialmente los relacionados con la entrega de apoyos en especie y logísticos para el desarrollo del Concurso y las clases magistrales.</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240" w:before="24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Este proceso incluyó la consolidación de informes de resultados para los aliados y la organización de los soportes que evidencian su participación, dejando formalmente cerrada la relación de patrocinio en el marco del Convenio.</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240" w:before="24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 información se encuentra disponible en el siguiente enlace:</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240" w:before="240" w:line="240" w:lineRule="auto"/>
              <w:jc w:val="both"/>
              <w:rPr>
                <w:rFonts w:ascii="Arial" w:cs="Arial" w:eastAsia="Arial" w:hAnsi="Arial"/>
                <w:color w:val="000000"/>
                <w:sz w:val="24"/>
                <w:szCs w:val="24"/>
              </w:rPr>
            </w:pPr>
            <w:hyperlink r:id="rId10">
              <w:r w:rsidDel="00000000" w:rsidR="00000000" w:rsidRPr="00000000">
                <w:rPr>
                  <w:rFonts w:ascii="Arial" w:cs="Arial" w:eastAsia="Arial" w:hAnsi="Arial"/>
                  <w:color w:val="0000ee"/>
                  <w:sz w:val="24"/>
                  <w:szCs w:val="24"/>
                  <w:u w:val="single"/>
                  <w:rtl w:val="0"/>
                </w:rPr>
                <w:t xml:space="preserve">Informe Fundacion Ramírez Moreno</w:t>
              </w:r>
            </w:hyperlink>
            <w:r w:rsidDel="00000000" w:rsidR="00000000" w:rsidRPr="00000000">
              <w:rPr>
                <w:rtl w:val="0"/>
              </w:rPr>
            </w:r>
          </w:p>
        </w:tc>
      </w:tr>
    </w:tbl>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12: </w:t>
      </w:r>
    </w:p>
    <w:tbl>
      <w:tblPr>
        <w:tblStyle w:val="Table13"/>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86">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87">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88">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Gestionar y diseñar los recursos de pauta en medios, prensa internacional y plataformas digitales. </w:t>
            </w:r>
            <w:r w:rsidDel="00000000" w:rsidR="00000000" w:rsidRPr="00000000">
              <w:rPr>
                <w:rtl w:val="0"/>
              </w:rPr>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 diciembre se consolidaron las evidencias finales de la estrategia de pauta y difusión del Concurso, incluyendo las transmisiones realizadas en plataformas especializadas, el material publicado en redes sociales y las notas de prensa generadas a nivel nacional e internacional. Este ejercicio permitió evaluar el alcance y el impacto de la visibilidad del evento.</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Adicionalmente, se organizó el archivo digital con los enlaces y soportes de difusión, dejando documentado el cumplimiento de esta obligación como parte del cierre comunicacional del proyecto</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before="4" w:line="240" w:lineRule="auto"/>
              <w:ind w:left="11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Las evidencias de esta actividad se encuentran disponibles en el siguiente enlace:</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before="4" w:line="240" w:lineRule="auto"/>
              <w:jc w:val="both"/>
              <w:rPr>
                <w:rFonts w:ascii="Arial" w:cs="Arial" w:eastAsia="Arial" w:hAnsi="Arial"/>
                <w:sz w:val="24"/>
                <w:szCs w:val="24"/>
              </w:rPr>
            </w:pPr>
            <w:hyperlink r:id="rId11">
              <w:r w:rsidDel="00000000" w:rsidR="00000000" w:rsidRPr="00000000">
                <w:rPr>
                  <w:rFonts w:ascii="Arial" w:cs="Arial" w:eastAsia="Arial" w:hAnsi="Arial"/>
                  <w:color w:val="1155cc"/>
                  <w:sz w:val="24"/>
                  <w:szCs w:val="24"/>
                  <w:u w:val="single"/>
                  <w:rtl w:val="0"/>
                </w:rPr>
                <w:t xml:space="preserve">https://docs.google.com/spreadsheets/d/11CgkkQH2bsRsHCTCKwA_DuXy81tXaGRWZdRGMvumv3M/edit?pli=1&amp;gid=1028933370#gid=1028933370</w:t>
              </w:r>
            </w:hyperlink>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No. 13: </w:t>
      </w:r>
    </w:p>
    <w:tbl>
      <w:tblPr>
        <w:tblStyle w:val="Table14"/>
        <w:tblW w:w="10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15"/>
        <w:gridCol w:w="5245"/>
        <w:tblGridChange w:id="0">
          <w:tblGrid>
            <w:gridCol w:w="4815"/>
            <w:gridCol w:w="5245"/>
          </w:tblGrid>
        </w:tblGridChange>
      </w:tblGrid>
      <w:tr>
        <w:trPr>
          <w:cantSplit w:val="0"/>
          <w:tblHeader w:val="0"/>
        </w:trPr>
        <w:tc>
          <w:tcPr/>
          <w:p w:rsidR="00000000" w:rsidDel="00000000" w:rsidP="00000000" w:rsidRDefault="00000000" w:rsidRPr="00000000" w14:paraId="00000091">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DESCRIPCIÓN </w:t>
            </w:r>
          </w:p>
        </w:tc>
        <w:tc>
          <w:tcPr/>
          <w:p w:rsidR="00000000" w:rsidDel="00000000" w:rsidP="00000000" w:rsidRDefault="00000000" w:rsidRPr="00000000" w14:paraId="0000009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ANÁLISIS DEL CUMPLIMIENTO. </w:t>
            </w:r>
          </w:p>
        </w:tc>
      </w:tr>
      <w:tr>
        <w:trPr>
          <w:cantSplit w:val="0"/>
          <w:trHeight w:val="554" w:hRule="atLeast"/>
          <w:tblHeader w:val="0"/>
        </w:trPr>
        <w:tc>
          <w:tcPr/>
          <w:p w:rsidR="00000000" w:rsidDel="00000000" w:rsidP="00000000" w:rsidRDefault="00000000" w:rsidRPr="00000000" w14:paraId="00000093">
            <w:pPr>
              <w:spacing w:after="0" w:line="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Diseñar y ejecutar de manera conjunta entre las partes la estrategia de prensa, publicitación y medios. </w:t>
            </w:r>
            <w:r w:rsidDel="00000000" w:rsidR="00000000" w:rsidRPr="00000000">
              <w:rPr>
                <w:rtl w:val="0"/>
              </w:rPr>
            </w:r>
          </w:p>
        </w:tc>
        <w:tc>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0" w:before="4"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Durante el mes de diciembre se finalizó la producción y revisión del cortometraje documental del Concurso, así como la consolidación de las piezas audiovisuales generadas durante las rondas presenciales. Estas acciones permitieron cerrar la estrategia conjunta de comunicaciones y dejar como resultado productos que fortalecen la memoria institucional del evento.</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0" w:before="4"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before="4"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 igual forma, se realizó la articulación final con los equipos de comunicaciones de las entidades vinculadas para la entrega de los productos y la organización de los archivos digitales, garantizando el cumplimiento integral de esta obligación en su fase de cierre.</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0" w:before="4"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0" w:before="4"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Las evidencias de esta actividad se encuentran disponibles en el siguiente enlace:</w:t>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0" w:before="4"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0" w:before="4" w:line="240" w:lineRule="auto"/>
              <w:jc w:val="both"/>
              <w:rPr>
                <w:rFonts w:ascii="Arial" w:cs="Arial" w:eastAsia="Arial" w:hAnsi="Arial"/>
                <w:color w:val="000000"/>
                <w:sz w:val="24"/>
                <w:szCs w:val="24"/>
              </w:rPr>
            </w:pPr>
            <w:hyperlink r:id="rId12">
              <w:r w:rsidDel="00000000" w:rsidR="00000000" w:rsidRPr="00000000">
                <w:rPr>
                  <w:rFonts w:ascii="Arial" w:cs="Arial" w:eastAsia="Arial" w:hAnsi="Arial"/>
                  <w:color w:val="0000ff"/>
                  <w:sz w:val="24"/>
                  <w:szCs w:val="24"/>
                  <w:u w:val="single"/>
                  <w:rtl w:val="0"/>
                </w:rPr>
                <w:t xml:space="preserve">https://www.youtube.com/watch?v=SCqGFfkYv7s&amp;list=PL2Lpk8Cly91Kv1-dSrpCQ82Nmko51e4qs</w:t>
              </w:r>
            </w:hyperlink>
            <w:r w:rsidDel="00000000" w:rsidR="00000000" w:rsidRPr="00000000">
              <w:rPr>
                <w:rFonts w:ascii="Arial" w:cs="Arial" w:eastAsia="Arial" w:hAnsi="Arial"/>
                <w:color w:val="000000"/>
                <w:sz w:val="24"/>
                <w:szCs w:val="24"/>
                <w:rtl w:val="0"/>
              </w:rPr>
              <w:t xml:space="preserve"> </w:t>
            </w:r>
          </w:p>
        </w:tc>
      </w:tr>
    </w:tbl>
    <w:p w:rsidR="00000000" w:rsidDel="00000000" w:rsidP="00000000" w:rsidRDefault="00000000" w:rsidRPr="00000000" w14:paraId="0000009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SEGUIMIENTO A LOS RIESGOS DE LA CONTRATACI</w:t>
      </w:r>
      <w:r w:rsidDel="00000000" w:rsidR="00000000" w:rsidRPr="00000000">
        <w:rPr>
          <w:rFonts w:ascii="Arial" w:cs="Arial" w:eastAsia="Arial" w:hAnsi="Arial"/>
          <w:b w:val="1"/>
          <w:bCs w:val="1"/>
          <w:sz w:val="24"/>
          <w:szCs w:val="24"/>
          <w:rtl w:val="0"/>
        </w:rPr>
        <w:t xml:space="preserve">Ó</w:t>
      </w:r>
      <w:r w:rsidDel="00000000" w:rsidR="00000000" w:rsidRPr="00000000">
        <w:rPr>
          <w:rFonts w:ascii="Arial" w:cs="Arial" w:eastAsia="Arial" w:hAnsi="Arial"/>
          <w:b w:val="1"/>
          <w:bCs w:val="1"/>
          <w:color w:val="000000"/>
          <w:sz w:val="24"/>
          <w:szCs w:val="24"/>
          <w:rtl w:val="0"/>
        </w:rPr>
        <w:t xml:space="preserve">N</w:t>
      </w:r>
    </w:p>
    <w:p w:rsidR="00000000" w:rsidDel="00000000" w:rsidP="00000000" w:rsidRDefault="00000000" w:rsidRPr="00000000" w14:paraId="0000009D">
      <w:pPr>
        <w:spacing w:after="0" w:before="184" w:line="240" w:lineRule="auto"/>
        <w:ind w:left="264" w:firstLine="0"/>
        <w:jc w:val="both"/>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Conforme la matriz de riesgos definida el comité operativo no ha percibido la posible materialización de alguno de los riesgos, para el proceso de selección se procedió a efectuar el seguimiento de los mismos así:</w:t>
      </w:r>
      <w:r w:rsidDel="00000000" w:rsidR="00000000" w:rsidRPr="00000000">
        <w:rPr>
          <w:rtl w:val="0"/>
        </w:rPr>
      </w:r>
    </w:p>
    <w:p w:rsidR="00000000" w:rsidDel="00000000" w:rsidP="00000000" w:rsidRDefault="00000000" w:rsidRPr="00000000" w14:paraId="0000009E">
      <w:pPr>
        <w:numPr>
          <w:ilvl w:val="0"/>
          <w:numId w:val="2"/>
        </w:numPr>
        <w:spacing w:after="0" w:before="169" w:line="240" w:lineRule="auto"/>
        <w:ind w:left="624" w:right="4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Cambios en la economía nacional o internacional podrían afectar el financiamiento y la sostenibilidad del proyecto. Consecuencia, demoras o imposibilidad de la ejecución del Convenio. El Asociado deberá tener en cuenta los posibles cambios en la economía al momento de presentar su propuesta.</w:t>
      </w:r>
    </w:p>
    <w:p w:rsidR="00000000" w:rsidDel="00000000" w:rsidP="00000000" w:rsidRDefault="00000000" w:rsidRPr="00000000" w14:paraId="0000009F">
      <w:pPr>
        <w:numPr>
          <w:ilvl w:val="0"/>
          <w:numId w:val="2"/>
        </w:numPr>
        <w:spacing w:after="0" w:before="158" w:line="240" w:lineRule="auto"/>
        <w:ind w:left="624" w:right="3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Cambios en la regulación o demoras en la obtención de permisos y procesos contractuales necesarios pueden afectar los plazos y costos. Consecuencia, demoras en el inicio de ejecución del proyecto o durante su ejecución. En el evento de generarse la afectación, el asociado deberá informar al supervisor de la ocurrencia del hecho y concretar fórmulas de solución con el asociado.</w:t>
      </w:r>
    </w:p>
    <w:p w:rsidR="00000000" w:rsidDel="00000000" w:rsidP="00000000" w:rsidRDefault="00000000" w:rsidRPr="00000000" w14:paraId="000000A0">
      <w:pPr>
        <w:numPr>
          <w:ilvl w:val="0"/>
          <w:numId w:val="2"/>
        </w:numPr>
        <w:spacing w:after="0" w:before="158" w:line="240" w:lineRule="auto"/>
        <w:ind w:left="624" w:right="47"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Fallas tecnológicas en los equipos dispuestos para la ejecución del proyecto. Consecuencia, afectación directa en la ejecución del proyecto o presentaciones. El Asociado deberá contar con equipos de backup y soporte técnico para atender las posibles fallas tecnológicas que se presente.</w:t>
      </w:r>
    </w:p>
    <w:p w:rsidR="00000000" w:rsidDel="00000000" w:rsidP="00000000" w:rsidRDefault="00000000" w:rsidRPr="00000000" w14:paraId="000000A1">
      <w:pPr>
        <w:numPr>
          <w:ilvl w:val="0"/>
          <w:numId w:val="2"/>
        </w:numPr>
        <w:spacing w:after="0" w:before="157" w:line="240" w:lineRule="auto"/>
        <w:ind w:left="624" w:right="39"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Cambios de políticas gubernamentales. Consecuencia, puede conllevar a variaciones en el objeto, obligaciones, plazo y ecuación del convenio. Se deben acordar las medidas con el Supervisor para implementar las acciones y las estrategias con el fin de que se ejecuten actividades exigidas.</w:t>
      </w:r>
    </w:p>
    <w:p w:rsidR="00000000" w:rsidDel="00000000" w:rsidP="00000000" w:rsidRDefault="00000000" w:rsidRPr="00000000" w14:paraId="000000A2">
      <w:pPr>
        <w:numPr>
          <w:ilvl w:val="0"/>
          <w:numId w:val="2"/>
        </w:numPr>
        <w:spacing w:after="0" w:before="163" w:line="240" w:lineRule="auto"/>
        <w:ind w:left="624" w:right="3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Cambio de las condiciones sociales que pueden conllevar a demoras en el cumplimiento de las obligaciones del convenio o cancelación de los eventos. Se deben acordar las medidas con el Supervisor para implementar las acciones y las estrategias con el fin de que se ejecuten actividades exigidas.</w:t>
      </w:r>
    </w:p>
    <w:p w:rsidR="00000000" w:rsidDel="00000000" w:rsidP="00000000" w:rsidRDefault="00000000" w:rsidRPr="00000000" w14:paraId="000000A3">
      <w:pPr>
        <w:numPr>
          <w:ilvl w:val="0"/>
          <w:numId w:val="2"/>
        </w:numPr>
        <w:spacing w:after="0" w:before="157" w:line="240" w:lineRule="auto"/>
        <w:ind w:left="624" w:right="47"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Alteraciones al orden público y condiciones climáticas que pueden llevar a demoras en el cumplimiento de las obligaciones del Convenio o cancelación de los eventos. Se deben acordar las medidas con el Supervisor para implementar las acciones y las estrategias con el fin de que se ejecuten actividades exigidas</w:t>
      </w:r>
    </w:p>
    <w:p w:rsidR="00000000" w:rsidDel="00000000" w:rsidP="00000000" w:rsidRDefault="00000000" w:rsidRPr="00000000" w14:paraId="000000A4">
      <w:pPr>
        <w:numPr>
          <w:ilvl w:val="0"/>
          <w:numId w:val="2"/>
        </w:numPr>
        <w:spacing w:after="0" w:before="165" w:line="240" w:lineRule="auto"/>
        <w:ind w:left="624" w:right="41"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Falla de equipos logísticos y/o de recurso humano a cargo del Asociado. Que conlleva a la afectación en la ejecución del proyecto, representado en demoras o no cumplimiento de los cronogramas. El Asociado deberá garantizar los requisitos mínimos logísticos y vincular durante toda la ejecución del proyecto al equipo de personal exigido garantizando su permanencia durante todo el proyecto</w:t>
      </w:r>
    </w:p>
    <w:p w:rsidR="00000000" w:rsidDel="00000000" w:rsidP="00000000" w:rsidRDefault="00000000" w:rsidRPr="00000000" w14:paraId="000000A5">
      <w:pPr>
        <w:widowControl w:val="0"/>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6">
      <w:pPr>
        <w:widowControl w:val="0"/>
        <w:numPr>
          <w:ilvl w:val="0"/>
          <w:numId w:val="1"/>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GESTIÓN DOCUMENTAL</w:t>
      </w:r>
    </w:p>
    <w:p w:rsidR="00000000" w:rsidDel="00000000" w:rsidP="00000000" w:rsidRDefault="00000000" w:rsidRPr="00000000" w14:paraId="000000A7">
      <w:pPr>
        <w:widowControl w:val="0"/>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 revisó la documentación virtual del expediente contra la física estableciendo que los documentos y evidencias soportes del cumplimiento del contrato, concuerdan y por lo tanto los mismos están completos y son consistentes. </w:t>
      </w:r>
    </w:p>
    <w:p w:rsidR="00000000" w:rsidDel="00000000" w:rsidP="00000000" w:rsidRDefault="00000000" w:rsidRPr="00000000" w14:paraId="000000A9">
      <w:pPr>
        <w:widowControl w:val="0"/>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A">
      <w:pPr>
        <w:widowControl w:val="0"/>
        <w:numPr>
          <w:ilvl w:val="0"/>
          <w:numId w:val="1"/>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INGRESO AL ALMACÉN:</w:t>
      </w:r>
      <w:r w:rsidDel="00000000" w:rsidR="00000000" w:rsidRPr="00000000">
        <w:rPr>
          <w:rFonts w:ascii="Arial" w:cs="Arial" w:eastAsia="Arial" w:hAnsi="Arial"/>
          <w:b w:val="1"/>
          <w:bCs w:val="1"/>
          <w:color w:val="000000"/>
          <w:sz w:val="24"/>
          <w:szCs w:val="24"/>
          <w:rtl w:val="0"/>
        </w:rPr>
        <w:t xml:space="preserve"> (CUANDO EL CONTRATO CONTENGA OBLIGACIONES DE SUMINISTRO O COMPRA DE BIENES SE DEBE INCLUIR LA SIGUIENTE CONSTANCIA, DE LO CONTRARIO ELIMINAR EL NUMERAL </w:t>
      </w:r>
      <w:r w:rsidDel="00000000" w:rsidR="00000000" w:rsidRPr="00000000">
        <w:rPr>
          <w:rtl w:val="0"/>
        </w:rPr>
      </w:r>
    </w:p>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C">
      <w:pPr>
        <w:widowControl w:val="0"/>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aplica para este Convenio Interadministrativo</w:t>
      </w:r>
    </w:p>
    <w:p w:rsidR="00000000" w:rsidDel="00000000" w:rsidP="00000000" w:rsidRDefault="00000000" w:rsidRPr="00000000" w14:paraId="000000AD">
      <w:pPr>
        <w:widowControl w:val="0"/>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AE">
      <w:pPr>
        <w:widowControl w:val="0"/>
        <w:numPr>
          <w:ilvl w:val="0"/>
          <w:numId w:val="1"/>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COMITÉS TÉCNICOS U OPERATIVOS DEL CONTRATO (CUANDO EN EL</w:t>
      </w:r>
      <w:r w:rsidDel="00000000" w:rsidR="00000000" w:rsidRPr="00000000">
        <w:rPr>
          <w:rFonts w:ascii="Arial" w:cs="Arial" w:eastAsia="Arial" w:hAnsi="Arial"/>
          <w:color w:val="000000"/>
          <w:sz w:val="24"/>
          <w:szCs w:val="24"/>
          <w:rtl w:val="0"/>
        </w:rPr>
        <w:t xml:space="preserve"> CONTRATO/CONVENIO SE CONFORME UN COMITÉ, SE DEBE INCLUIR ESTE NUMERAL, DE LO CONTRARIO ELIMINARLO)</w:t>
      </w:r>
    </w:p>
    <w:p w:rsidR="00000000" w:rsidDel="00000000" w:rsidP="00000000" w:rsidRDefault="00000000" w:rsidRPr="00000000" w14:paraId="000000AF">
      <w:pPr>
        <w:widowControl w:val="0"/>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0">
      <w:pPr>
        <w:widowControl w:val="0"/>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 han efectuado los comités establecidos en el contrato así: </w:t>
      </w:r>
    </w:p>
    <w:p w:rsidR="00000000" w:rsidDel="00000000" w:rsidP="00000000" w:rsidRDefault="00000000" w:rsidRPr="00000000" w14:paraId="000000B1">
      <w:pPr>
        <w:widowControl w:val="0"/>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4"/>
          <w:szCs w:val="24"/>
        </w:rPr>
      </w:pPr>
      <w:r w:rsidDel="00000000" w:rsidR="00000000" w:rsidRPr="00000000">
        <w:rPr>
          <w:rtl w:val="0"/>
        </w:rPr>
      </w:r>
    </w:p>
    <w:tbl>
      <w:tblPr>
        <w:tblStyle w:val="Table15"/>
        <w:tblW w:w="9960.0" w:type="dxa"/>
        <w:jc w:val="center"/>
        <w:tblLayout w:type="fixed"/>
        <w:tblLook w:val="0400"/>
      </w:tblPr>
      <w:tblGrid>
        <w:gridCol w:w="5160"/>
        <w:gridCol w:w="1545"/>
        <w:gridCol w:w="3255"/>
        <w:tblGridChange w:id="0">
          <w:tblGrid>
            <w:gridCol w:w="5160"/>
            <w:gridCol w:w="1545"/>
            <w:gridCol w:w="3255"/>
          </w:tblGrid>
        </w:tblGridChange>
      </w:tblGrid>
      <w:tr>
        <w:trPr>
          <w:cantSplit w:val="0"/>
          <w:trHeight w:val="32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spacing w:after="0" w:line="240" w:lineRule="auto"/>
              <w:ind w:left="371" w:right="126" w:firstLine="206"/>
              <w:jc w:val="center"/>
              <w:rPr>
                <w:rFonts w:ascii="Times New Roman" w:cs="Times New Roman" w:eastAsia="Times New Roman" w:hAnsi="Times New Roman"/>
                <w:sz w:val="24"/>
                <w:szCs w:val="24"/>
              </w:rPr>
            </w:pPr>
            <w:r w:rsidDel="00000000" w:rsidR="00000000" w:rsidRPr="00000000">
              <w:rPr>
                <w:rFonts w:ascii="Arial" w:cs="Arial" w:eastAsia="Arial" w:hAnsi="Arial"/>
                <w:b w:val="1"/>
                <w:bCs w:val="1"/>
                <w:color w:val="000000"/>
                <w:sz w:val="24"/>
                <w:szCs w:val="24"/>
                <w:rtl w:val="0"/>
              </w:rPr>
              <w:t xml:space="preserve">ACTAS DE COMITÉS TÉCNICOS OPERATIVOS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3">
            <w:pPr>
              <w:spacing w:after="0" w:before="2" w:line="240" w:lineRule="auto"/>
              <w:ind w:left="335" w:right="283" w:firstLine="5"/>
              <w:jc w:val="center"/>
              <w:rPr>
                <w:rFonts w:ascii="Times New Roman" w:cs="Times New Roman" w:eastAsia="Times New Roman" w:hAnsi="Times New Roman"/>
                <w:sz w:val="24"/>
                <w:szCs w:val="24"/>
              </w:rPr>
            </w:pPr>
            <w:r w:rsidDel="00000000" w:rsidR="00000000" w:rsidRPr="00000000">
              <w:rPr>
                <w:rFonts w:ascii="Arial" w:cs="Arial" w:eastAsia="Arial" w:hAnsi="Arial"/>
                <w:b w:val="1"/>
                <w:bCs w:val="1"/>
                <w:color w:val="000000"/>
                <w:sz w:val="24"/>
                <w:szCs w:val="24"/>
                <w:rtl w:val="0"/>
              </w:rPr>
              <w:t xml:space="preserve">FECHA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4">
            <w:pPr>
              <w:spacing w:after="0" w:before="2" w:line="240" w:lineRule="auto"/>
              <w:ind w:left="335" w:right="283" w:firstLine="5"/>
              <w:jc w:val="center"/>
              <w:rPr>
                <w:rFonts w:ascii="Times New Roman" w:cs="Times New Roman" w:eastAsia="Times New Roman" w:hAnsi="Times New Roman"/>
                <w:sz w:val="24"/>
                <w:szCs w:val="24"/>
              </w:rPr>
            </w:pPr>
            <w:r w:rsidDel="00000000" w:rsidR="00000000" w:rsidRPr="00000000">
              <w:rPr>
                <w:rFonts w:ascii="Arial" w:cs="Arial" w:eastAsia="Arial" w:hAnsi="Arial"/>
                <w:b w:val="1"/>
                <w:bCs w:val="1"/>
                <w:color w:val="000000"/>
                <w:sz w:val="24"/>
                <w:szCs w:val="24"/>
                <w:rtl w:val="0"/>
              </w:rPr>
              <w:t xml:space="preserve">NÚMERO DE RADICACIÓN</w:t>
            </w:r>
            <w:r w:rsidDel="00000000" w:rsidR="00000000" w:rsidRPr="00000000">
              <w:rPr>
                <w:rtl w:val="0"/>
              </w:rPr>
            </w:r>
          </w:p>
        </w:tc>
      </w:tr>
      <w:tr>
        <w:trPr>
          <w:cantSplit w:val="0"/>
          <w:trHeight w:val="4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spacing w:after="0" w:before="2" w:line="240" w:lineRule="auto"/>
              <w:ind w:left="139" w:right="126"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COMITÉ TÉCNICO OPERATIVO No. 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6">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06/12/2024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20251000272083</w:t>
            </w:r>
            <w:r w:rsidDel="00000000" w:rsidR="00000000" w:rsidRPr="00000000">
              <w:rPr>
                <w:rtl w:val="0"/>
              </w:rPr>
            </w:r>
          </w:p>
        </w:tc>
      </w:tr>
      <w:tr>
        <w:trPr>
          <w:cantSplit w:val="0"/>
          <w:trHeight w:val="4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spacing w:after="0" w:before="2" w:line="240" w:lineRule="auto"/>
              <w:ind w:left="139" w:right="126"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COMITÉ TÉCNICO OPERATIVO No. 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9">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22/01/2025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A">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20251000230393</w:t>
            </w:r>
            <w:r w:rsidDel="00000000" w:rsidR="00000000" w:rsidRPr="00000000">
              <w:rPr>
                <w:rtl w:val="0"/>
              </w:rPr>
            </w:r>
          </w:p>
        </w:tc>
      </w:tr>
      <w:tr>
        <w:trPr>
          <w:cantSplit w:val="0"/>
          <w:trHeight w:val="4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B">
            <w:pPr>
              <w:spacing w:after="0" w:before="2" w:line="240" w:lineRule="auto"/>
              <w:ind w:left="139" w:right="126"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COMITÉ TÉCNICO OPERATIVO No. 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C">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19/03/2025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20251000230453</w:t>
            </w:r>
            <w:r w:rsidDel="00000000" w:rsidR="00000000" w:rsidRPr="00000000">
              <w:rPr>
                <w:rtl w:val="0"/>
              </w:rPr>
            </w:r>
          </w:p>
        </w:tc>
      </w:tr>
      <w:tr>
        <w:trPr>
          <w:cantSplit w:val="0"/>
          <w:trHeight w:val="4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E">
            <w:pPr>
              <w:spacing w:after="0" w:before="2" w:line="240" w:lineRule="auto"/>
              <w:ind w:left="139" w:right="126"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COMITÉ TÉCNICO OPERATIVO ASINCRÓNICO No. 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28/03/2025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20251000230533</w:t>
            </w:r>
            <w:r w:rsidDel="00000000" w:rsidR="00000000" w:rsidRPr="00000000">
              <w:rPr>
                <w:rtl w:val="0"/>
              </w:rPr>
            </w:r>
          </w:p>
        </w:tc>
      </w:tr>
      <w:tr>
        <w:trPr>
          <w:cantSplit w:val="0"/>
          <w:trHeight w:val="4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1">
            <w:pPr>
              <w:spacing w:after="0" w:before="2" w:line="240" w:lineRule="auto"/>
              <w:ind w:left="139" w:right="126"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COMITÉ TÉCNICO OPERATIVO No. 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12/06/2025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20251000371203</w:t>
            </w:r>
            <w:r w:rsidDel="00000000" w:rsidR="00000000" w:rsidRPr="00000000">
              <w:rPr>
                <w:rtl w:val="0"/>
              </w:rPr>
            </w:r>
          </w:p>
        </w:tc>
      </w:tr>
      <w:tr>
        <w:trPr>
          <w:cantSplit w:val="0"/>
          <w:trHeight w:val="4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spacing w:after="0" w:before="2" w:line="240" w:lineRule="auto"/>
              <w:ind w:left="139" w:right="126"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COMITÉ TÉCNICO OPERATIVO ASINCRÓNICO No. 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13/06/2025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20251000369733</w:t>
            </w:r>
            <w:r w:rsidDel="00000000" w:rsidR="00000000" w:rsidRPr="00000000">
              <w:rPr>
                <w:rtl w:val="0"/>
              </w:rPr>
            </w:r>
          </w:p>
        </w:tc>
      </w:tr>
      <w:tr>
        <w:trPr>
          <w:cantSplit w:val="0"/>
          <w:trHeight w:val="4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7">
            <w:pPr>
              <w:spacing w:after="0" w:before="2" w:line="240" w:lineRule="auto"/>
              <w:ind w:left="139" w:right="126"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COMITÉ TÉCNICO OPERATIVO No. 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8">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01/07/2025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9">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20251000361893</w:t>
            </w:r>
            <w:r w:rsidDel="00000000" w:rsidR="00000000" w:rsidRPr="00000000">
              <w:rPr>
                <w:rtl w:val="0"/>
              </w:rPr>
            </w:r>
          </w:p>
        </w:tc>
      </w:tr>
      <w:tr>
        <w:trPr>
          <w:cantSplit w:val="0"/>
          <w:trHeight w:val="4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A">
            <w:pPr>
              <w:spacing w:after="0" w:before="2" w:line="240" w:lineRule="auto"/>
              <w:ind w:left="139" w:right="126"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COMITÉ TÉCNICO OPERATIVO No. 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B">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28/08/2025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C">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20251000486443</w:t>
            </w:r>
            <w:r w:rsidDel="00000000" w:rsidR="00000000" w:rsidRPr="00000000">
              <w:rPr>
                <w:rtl w:val="0"/>
              </w:rPr>
            </w:r>
          </w:p>
        </w:tc>
      </w:tr>
      <w:tr>
        <w:trPr>
          <w:cantSplit w:val="0"/>
          <w:trHeight w:val="4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D">
            <w:pPr>
              <w:spacing w:after="0" w:before="2" w:line="240" w:lineRule="auto"/>
              <w:ind w:left="139" w:right="126"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COMITÉ TÉCNICO OPERATIVO No. 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E">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25/09/2025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F">
            <w:pPr>
              <w:spacing w:after="0" w:line="240" w:lineRule="auto"/>
              <w:ind w:left="155" w:firstLine="0"/>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20251000581113</w:t>
            </w:r>
            <w:r w:rsidDel="00000000" w:rsidR="00000000" w:rsidRPr="00000000">
              <w:rPr>
                <w:rtl w:val="0"/>
              </w:rPr>
            </w:r>
          </w:p>
        </w:tc>
      </w:tr>
      <w:tr>
        <w:trPr>
          <w:cantSplit w:val="0"/>
          <w:trHeight w:val="4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0">
            <w:pPr>
              <w:spacing w:after="0" w:before="2" w:line="240" w:lineRule="auto"/>
              <w:ind w:left="139" w:right="126"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COMITÉ TÉCNICO OPERATIVO No. 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1">
            <w:pPr>
              <w:spacing w:after="0" w:line="240" w:lineRule="auto"/>
              <w:ind w:left="155"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31/10/2025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2">
            <w:pPr>
              <w:spacing w:after="0" w:line="240" w:lineRule="auto"/>
              <w:ind w:left="155"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20251000686313</w:t>
            </w:r>
          </w:p>
        </w:tc>
      </w:tr>
      <w:tr>
        <w:trPr>
          <w:cantSplit w:val="0"/>
          <w:trHeight w:val="4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3">
            <w:pPr>
              <w:spacing w:after="0" w:before="2" w:line="240" w:lineRule="auto"/>
              <w:ind w:left="139" w:right="126"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COMITÉ TÉCNICO OPERATIVO No. 11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4">
            <w:pPr>
              <w:spacing w:after="0" w:line="240" w:lineRule="auto"/>
              <w:ind w:left="155"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17/12/2025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5">
            <w:pPr>
              <w:spacing w:after="0" w:line="240" w:lineRule="auto"/>
              <w:ind w:left="155"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20251000779193</w:t>
            </w:r>
          </w:p>
        </w:tc>
      </w:tr>
    </w:tbl>
    <w:p w:rsidR="00000000" w:rsidDel="00000000" w:rsidP="00000000" w:rsidRDefault="00000000" w:rsidRPr="00000000" w14:paraId="000000D6">
      <w:pPr>
        <w:widowControl w:val="0"/>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widowControl w:val="0"/>
        <w:numPr>
          <w:ilvl w:val="0"/>
          <w:numId w:val="1"/>
        </w:num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COMITÉS DE OBRA DEL CONTRATO </w:t>
      </w:r>
      <w:r w:rsidDel="00000000" w:rsidR="00000000" w:rsidRPr="00000000">
        <w:rPr>
          <w:rFonts w:ascii="Arial" w:cs="Arial" w:eastAsia="Arial" w:hAnsi="Arial"/>
          <w:color w:val="000000"/>
          <w:sz w:val="24"/>
          <w:szCs w:val="24"/>
          <w:rtl w:val="0"/>
        </w:rPr>
        <w:t xml:space="preserve">(CUANDO EL CONTRATO SEA DE OBRA, SE DEBE INCLUIR ESTE NUMERAL, DE LO CONTRARIO ELIMINARLO)</w:t>
      </w:r>
      <w:r w:rsidDel="00000000" w:rsidR="00000000" w:rsidRPr="00000000">
        <w:rPr>
          <w:rtl w:val="0"/>
        </w:rPr>
      </w:r>
    </w:p>
    <w:p w:rsidR="00000000" w:rsidDel="00000000" w:rsidP="00000000" w:rsidRDefault="00000000" w:rsidRPr="00000000" w14:paraId="000000D8">
      <w:pPr>
        <w:widowControl w:val="0"/>
        <w:pBdr>
          <w:top w:space="0" w:sz="0" w:val="nil"/>
          <w:left w:space="0" w:sz="0" w:val="nil"/>
          <w:bottom w:space="0" w:sz="0" w:val="nil"/>
          <w:right w:space="0" w:sz="0" w:val="nil"/>
          <w:between w:space="0" w:sz="0" w:val="nil"/>
        </w:pBdr>
        <w:spacing w:after="0" w:line="240" w:lineRule="auto"/>
        <w:ind w:left="720" w:firstLine="0"/>
        <w:jc w:val="both"/>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D9">
      <w:pPr>
        <w:widowControl w:val="0"/>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8"/>
          <w:szCs w:val="28"/>
        </w:rPr>
      </w:pPr>
      <w:r w:rsidDel="00000000" w:rsidR="00000000" w:rsidRPr="00000000">
        <w:rPr>
          <w:rFonts w:ascii="Arial" w:cs="Arial" w:eastAsia="Arial" w:hAnsi="Arial"/>
          <w:color w:val="000000"/>
          <w:sz w:val="24"/>
          <w:szCs w:val="24"/>
          <w:rtl w:val="0"/>
        </w:rPr>
        <w:t xml:space="preserve">No aplica para este Convenio Interadministrativo.</w:t>
      </w:r>
      <w:r w:rsidDel="00000000" w:rsidR="00000000" w:rsidRPr="00000000">
        <w:rPr>
          <w:rtl w:val="0"/>
        </w:rPr>
      </w:r>
    </w:p>
    <w:p w:rsidR="00000000" w:rsidDel="00000000" w:rsidP="00000000" w:rsidRDefault="00000000" w:rsidRPr="00000000" w14:paraId="000000DA">
      <w:pPr>
        <w:widowControl w:val="0"/>
        <w:pBdr>
          <w:top w:space="0" w:sz="0" w:val="nil"/>
          <w:left w:space="0" w:sz="0" w:val="nil"/>
          <w:bottom w:space="0" w:sz="0" w:val="nil"/>
          <w:right w:space="0" w:sz="0" w:val="nil"/>
          <w:between w:space="0" w:sz="0" w:val="nil"/>
        </w:pBdr>
        <w:spacing w:after="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B">
      <w:pPr>
        <w:numPr>
          <w:ilvl w:val="0"/>
          <w:numId w:val="1"/>
        </w:numPr>
        <w:pBdr>
          <w:top w:space="0" w:sz="0" w:val="nil"/>
          <w:left w:space="0" w:sz="0" w:val="nil"/>
          <w:bottom w:space="0" w:sz="0" w:val="nil"/>
          <w:right w:space="0" w:sz="0" w:val="nil"/>
          <w:between w:space="0" w:sz="0" w:val="nil"/>
        </w:pBdr>
        <w:ind w:left="360" w:hanging="36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CONCLUSIONES </w:t>
      </w:r>
    </w:p>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0" w:line="240" w:lineRule="auto"/>
        <w:ind w:right="3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Una vez analizados los soportes presentados por el contratista, la supervisión certifica el cumplimiento por parte de la Asociación Nacional de Música Sinfónica del objeto y de cada una de las obligaciones previstas en el Convenio de Asociación No. 768 de 2024.</w:t>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280" w:before="280" w:line="240" w:lineRule="auto"/>
        <w:ind w:right="3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Asimismo, esta supervisión deja constancia de la verificación del cumplimiento por parte del contratista del pago de sus obligaciones parafiscales, estableciendo una correcta relación entre el monto cancelado y las sumas que debieron haber sido cotizadas, durante el periodo que se certifica.</w:t>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280" w:before="280" w:line="240" w:lineRule="auto"/>
        <w:ind w:right="3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Certifico que he verificado la completitud en la publicación de los documentos a los cuales hace referencia la Directiva No. 001 de 2025 de la Secretaría Jurídica Distrital o la que la adicione, modifique o haga sus veces en la plataforma SECOP II y en la misma se encuentra publicada toda la información y documentos soporte del contrato y su ejecución, hasta la fecha en la que se verifica y rinde el presente informe.</w:t>
      </w:r>
    </w:p>
    <w:p w:rsidR="00000000" w:rsidDel="00000000" w:rsidP="00000000" w:rsidRDefault="00000000" w:rsidRPr="00000000" w14:paraId="000000D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0">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_____________________________________</w:t>
      </w:r>
    </w:p>
    <w:p w:rsidR="00000000" w:rsidDel="00000000" w:rsidP="00000000" w:rsidRDefault="00000000" w:rsidRPr="00000000" w14:paraId="000000E1">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Nombre: NATALIA SEFAIR LÓPEZ</w:t>
      </w:r>
    </w:p>
    <w:p w:rsidR="00000000" w:rsidDel="00000000" w:rsidP="00000000" w:rsidRDefault="00000000" w:rsidRPr="00000000" w14:paraId="000000E2">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Fecha de expedición: 30/11/2025</w:t>
      </w:r>
    </w:p>
    <w:p w:rsidR="00000000" w:rsidDel="00000000" w:rsidP="00000000" w:rsidRDefault="00000000" w:rsidRPr="00000000" w14:paraId="000000E3">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Radicado(s) sobre designación de supervisión.</w:t>
      </w:r>
    </w:p>
    <w:p w:rsidR="00000000" w:rsidDel="00000000" w:rsidP="00000000" w:rsidRDefault="00000000" w:rsidRPr="00000000" w14:paraId="000000E4">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20242000508353. </w:t>
      </w:r>
    </w:p>
    <w:p w:rsidR="00000000" w:rsidDel="00000000" w:rsidP="00000000" w:rsidRDefault="00000000" w:rsidRPr="00000000" w14:paraId="000000E5">
      <w:pPr>
        <w:spacing w:after="240" w:before="24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Nota 1: Este formato no aplica para el trámite de desembolso de los contratos de prestación de servicios y apoyo a la gestión suscritos con persona natural, en la medida que el mismo es surtido a través de Cultured.</w:t>
      </w:r>
    </w:p>
    <w:p w:rsidR="00000000" w:rsidDel="00000000" w:rsidP="00000000" w:rsidRDefault="00000000" w:rsidRPr="00000000" w14:paraId="000000E6">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Nota 2: De conformidad con lo dispuesto en los artículos 83 y 84 de la Ley 1474 de 2011 es responsabilidad de cada supervisor la integridad, completitud y veracidad de la información consignada en los informes de ejecución del contrato o su aval, con base en la cual el ordenador del gasto aprueba el pago en el sistema dispuesto para tal fin.</w:t>
      </w:r>
    </w:p>
    <w:sectPr>
      <w:headerReference r:id="rId13" w:type="default"/>
      <w:headerReference r:id="rId14" w:type="first"/>
      <w:headerReference r:id="rId15" w:type="even"/>
      <w:footerReference r:id="rId16" w:type="default"/>
      <w:footerReference r:id="rId17" w:type="first"/>
      <w:footerReference r:id="rId18" w:type="even"/>
      <w:pgSz w:h="15840" w:w="12240" w:orient="portrait"/>
      <w:pgMar w:bottom="1418" w:top="1418"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Liberation 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8">
    <w:pPr>
      <w:widowControl w:val="0"/>
      <w:pBdr>
        <w:top w:space="0" w:sz="0" w:val="nil"/>
        <w:left w:space="0" w:sz="0" w:val="nil"/>
        <w:bottom w:space="0" w:sz="0" w:val="nil"/>
        <w:right w:space="0" w:sz="0" w:val="nil"/>
        <w:between w:space="0" w:sz="0" w:val="nil"/>
      </w:pBdr>
      <w:spacing w:after="0" w:line="276" w:lineRule="auto"/>
      <w:rPr>
        <w:color w:val="ff0000"/>
      </w:rPr>
    </w:pPr>
    <w:r w:rsidDel="00000000" w:rsidR="00000000" w:rsidRPr="00000000">
      <w:rPr>
        <w:rtl w:val="0"/>
      </w:rPr>
    </w:r>
  </w:p>
  <w:tbl>
    <w:tblPr>
      <w:tblStyle w:val="Table16"/>
      <w:tblW w:w="10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24"/>
      <w:gridCol w:w="5303"/>
      <w:gridCol w:w="2835"/>
      <w:tblGridChange w:id="0">
        <w:tblGrid>
          <w:gridCol w:w="1924"/>
          <w:gridCol w:w="5303"/>
          <w:gridCol w:w="2835"/>
        </w:tblGrid>
      </w:tblGridChange>
    </w:tblGrid>
    <w:tr>
      <w:trPr>
        <w:cantSplit w:val="0"/>
        <w:trHeight w:val="366" w:hRule="atLeast"/>
        <w:tblHeader w:val="0"/>
      </w:trPr>
      <w:tc>
        <w:tcPr>
          <w:vMerge w:val="restart"/>
        </w:tcPr>
        <w:p w:rsidR="00000000" w:rsidDel="00000000" w:rsidP="00000000" w:rsidRDefault="00000000" w:rsidRPr="00000000" w14:paraId="000000E9">
          <w:pPr>
            <w:widowControl w:val="0"/>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color w:val="000000"/>
              <w:sz w:val="24"/>
              <w:szCs w:val="24"/>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273685</wp:posOffset>
                </wp:positionH>
                <wp:positionV relativeFrom="paragraph">
                  <wp:posOffset>245110</wp:posOffset>
                </wp:positionV>
                <wp:extent cx="641350" cy="685800"/>
                <wp:effectExtent b="0" l="0" r="0" t="0"/>
                <wp:wrapNone/>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41350" cy="685800"/>
                        </a:xfrm>
                        <a:prstGeom prst="rect"/>
                        <a:ln/>
                      </pic:spPr>
                    </pic:pic>
                  </a:graphicData>
                </a:graphic>
              </wp:anchor>
            </w:drawing>
          </w:r>
        </w:p>
      </w:tc>
      <w:tc>
        <w:tcPr>
          <w:vMerge w:val="restart"/>
          <w:vAlign w:val="center"/>
        </w:tcPr>
        <w:p w:rsidR="00000000" w:rsidDel="00000000" w:rsidP="00000000" w:rsidRDefault="00000000" w:rsidRPr="00000000" w14:paraId="000000EA">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GESTIÓN CONTRACTUAL</w:t>
          </w:r>
        </w:p>
      </w:tc>
      <w:tc>
        <w:tcPr/>
        <w:p w:rsidR="00000000" w:rsidDel="00000000" w:rsidP="00000000" w:rsidRDefault="00000000" w:rsidRPr="00000000" w14:paraId="000000EB">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16"/>
              <w:szCs w:val="16"/>
              <w:rtl w:val="0"/>
            </w:rPr>
            <w:t xml:space="preserve">CÓDIGO: </w:t>
          </w:r>
          <w:r w:rsidDel="00000000" w:rsidR="00000000" w:rsidRPr="00000000">
            <w:rPr>
              <w:rFonts w:ascii="Arial" w:cs="Arial" w:eastAsia="Arial" w:hAnsi="Arial"/>
              <w:color w:val="000000"/>
              <w:sz w:val="18"/>
              <w:szCs w:val="18"/>
              <w:rtl w:val="0"/>
            </w:rPr>
            <w:t xml:space="preserve">CON-PR-02-FR-01</w:t>
          </w:r>
          <w:r w:rsidDel="00000000" w:rsidR="00000000" w:rsidRPr="00000000">
            <w:rPr>
              <w:rtl w:val="0"/>
            </w:rPr>
          </w:r>
        </w:p>
        <w:p w:rsidR="00000000" w:rsidDel="00000000" w:rsidP="00000000" w:rsidRDefault="00000000" w:rsidRPr="00000000" w14:paraId="000000EC">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16"/>
              <w:szCs w:val="16"/>
            </w:rPr>
          </w:pPr>
          <w:r w:rsidDel="00000000" w:rsidR="00000000" w:rsidRPr="00000000">
            <w:rPr>
              <w:rtl w:val="0"/>
            </w:rPr>
          </w:r>
        </w:p>
      </w:tc>
    </w:tr>
    <w:tr>
      <w:trPr>
        <w:cantSplit w:val="0"/>
        <w:trHeight w:val="282" w:hRule="atLeast"/>
        <w:tblHeader w:val="0"/>
      </w:trPr>
      <w:tc>
        <w:tcPr>
          <w:vMerge w:val="continue"/>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6"/>
              <w:szCs w:val="16"/>
            </w:rPr>
          </w:pPr>
          <w:r w:rsidDel="00000000" w:rsidR="00000000" w:rsidRPr="00000000">
            <w:rPr>
              <w:rtl w:val="0"/>
            </w:rPr>
          </w:r>
        </w:p>
      </w:tc>
      <w:tc>
        <w:tcPr>
          <w:vMerge w:val="continue"/>
          <w:vAlign w:val="center"/>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EF">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 2</w:t>
          </w:r>
        </w:p>
        <w:p w:rsidR="00000000" w:rsidDel="00000000" w:rsidP="00000000" w:rsidRDefault="00000000" w:rsidRPr="00000000" w14:paraId="000000F0">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16"/>
              <w:szCs w:val="16"/>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6"/>
              <w:szCs w:val="16"/>
            </w:rPr>
          </w:pPr>
          <w:r w:rsidDel="00000000" w:rsidR="00000000" w:rsidRPr="00000000">
            <w:rPr>
              <w:rtl w:val="0"/>
            </w:rPr>
          </w:r>
        </w:p>
      </w:tc>
      <w:tc>
        <w:tcPr>
          <w:vMerge w:val="restart"/>
          <w:vAlign w:val="center"/>
        </w:tcPr>
        <w:p w:rsidR="00000000" w:rsidDel="00000000" w:rsidP="00000000" w:rsidRDefault="00000000" w:rsidRPr="00000000" w14:paraId="000000F2">
          <w:pPr>
            <w:widowControl w:val="0"/>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24"/>
              <w:szCs w:val="24"/>
            </w:rPr>
          </w:pPr>
          <w:r w:rsidDel="00000000" w:rsidR="00000000" w:rsidRPr="00000000">
            <w:rPr>
              <w:rFonts w:ascii="Arial" w:cs="Arial" w:eastAsia="Arial" w:hAnsi="Arial"/>
              <w:b w:val="1"/>
              <w:bCs w:val="1"/>
              <w:color w:val="000000"/>
              <w:sz w:val="24"/>
              <w:szCs w:val="24"/>
              <w:rtl w:val="0"/>
            </w:rPr>
            <w:t xml:space="preserve">INFORME DE SUPERVISIÓN</w:t>
          </w:r>
          <w:r w:rsidDel="00000000" w:rsidR="00000000" w:rsidRPr="00000000">
            <w:rPr>
              <w:rtl w:val="0"/>
            </w:rPr>
          </w:r>
        </w:p>
      </w:tc>
      <w:tc>
        <w:tcPr/>
        <w:p w:rsidR="00000000" w:rsidDel="00000000" w:rsidP="00000000" w:rsidRDefault="00000000" w:rsidRPr="00000000" w14:paraId="000000F3">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FECHA: </w:t>
          </w:r>
          <w:r w:rsidDel="00000000" w:rsidR="00000000" w:rsidRPr="00000000">
            <w:rPr>
              <w:rFonts w:ascii="Arial" w:cs="Arial" w:eastAsia="Arial" w:hAnsi="Arial"/>
              <w:sz w:val="16"/>
              <w:szCs w:val="16"/>
              <w:rtl w:val="0"/>
            </w:rPr>
            <w:t xml:space="preserve">10</w:t>
          </w:r>
          <w:r w:rsidDel="00000000" w:rsidR="00000000" w:rsidRPr="00000000">
            <w:rPr>
              <w:rFonts w:ascii="Arial" w:cs="Arial" w:eastAsia="Arial" w:hAnsi="Arial"/>
              <w:color w:val="000000"/>
              <w:sz w:val="16"/>
              <w:szCs w:val="16"/>
              <w:rtl w:val="0"/>
            </w:rPr>
            <w:t xml:space="preserve">/</w:t>
          </w:r>
          <w:r w:rsidDel="00000000" w:rsidR="00000000" w:rsidRPr="00000000">
            <w:rPr>
              <w:rFonts w:ascii="Arial" w:cs="Arial" w:eastAsia="Arial" w:hAnsi="Arial"/>
              <w:sz w:val="16"/>
              <w:szCs w:val="16"/>
              <w:rtl w:val="0"/>
            </w:rPr>
            <w:t xml:space="preserve">10</w:t>
          </w:r>
          <w:r w:rsidDel="00000000" w:rsidR="00000000" w:rsidRPr="00000000">
            <w:rPr>
              <w:rFonts w:ascii="Arial" w:cs="Arial" w:eastAsia="Arial" w:hAnsi="Arial"/>
              <w:color w:val="000000"/>
              <w:sz w:val="16"/>
              <w:szCs w:val="16"/>
              <w:rtl w:val="0"/>
            </w:rPr>
            <w:t xml:space="preserve">/202</w:t>
          </w:r>
          <w:r w:rsidDel="00000000" w:rsidR="00000000" w:rsidRPr="00000000">
            <w:rPr>
              <w:rFonts w:ascii="Arial" w:cs="Arial" w:eastAsia="Arial" w:hAnsi="Arial"/>
              <w:sz w:val="16"/>
              <w:szCs w:val="16"/>
              <w:rtl w:val="0"/>
            </w:rPr>
            <w:t xml:space="preserve">5</w:t>
          </w:r>
          <w:r w:rsidDel="00000000" w:rsidR="00000000" w:rsidRPr="00000000">
            <w:rPr>
              <w:rtl w:val="0"/>
            </w:rPr>
          </w:r>
        </w:p>
        <w:p w:rsidR="00000000" w:rsidDel="00000000" w:rsidP="00000000" w:rsidRDefault="00000000" w:rsidRPr="00000000" w14:paraId="000000F4">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16"/>
              <w:szCs w:val="16"/>
            </w:rPr>
          </w:pPr>
          <w:r w:rsidDel="00000000" w:rsidR="00000000" w:rsidRPr="00000000">
            <w:rPr>
              <w:rtl w:val="0"/>
            </w:rPr>
          </w:r>
        </w:p>
      </w:tc>
    </w:tr>
    <w:tr>
      <w:trPr>
        <w:cantSplit w:val="0"/>
        <w:trHeight w:val="380" w:hRule="atLeast"/>
        <w:tblHeader w:val="0"/>
      </w:trPr>
      <w:tc>
        <w:tcPr>
          <w:vMerge w:val="continue"/>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6"/>
              <w:szCs w:val="16"/>
            </w:rPr>
          </w:pPr>
          <w:r w:rsidDel="00000000" w:rsidR="00000000" w:rsidRPr="00000000">
            <w:rPr>
              <w:rtl w:val="0"/>
            </w:rPr>
          </w:r>
        </w:p>
      </w:tc>
      <w:tc>
        <w:tcPr>
          <w:vMerge w:val="continue"/>
          <w:vAlign w:val="center"/>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F7">
          <w:pPr>
            <w:widowControl w:val="0"/>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8"/>
              <w:szCs w:val="18"/>
              <w:rtl w:val="0"/>
            </w:rPr>
            <w:t xml:space="preserve">Página </w:t>
          </w:r>
          <w:r w:rsidDel="00000000" w:rsidR="00000000" w:rsidRPr="00000000">
            <w:rPr>
              <w:rFonts w:ascii="Arial" w:cs="Arial" w:eastAsia="Arial" w:hAnsi="Arial"/>
              <w:color w:val="000000"/>
              <w:sz w:val="18"/>
              <w:szCs w:val="18"/>
            </w:rPr>
            <w:fldChar w:fldCharType="begin"/>
            <w:instrText xml:space="preserve">PAGE</w:instrText>
            <w:fldChar w:fldCharType="separate"/>
            <w:fldChar w:fldCharType="end"/>
          </w:r>
          <w:r w:rsidDel="00000000" w:rsidR="00000000" w:rsidRPr="00000000">
            <w:rPr>
              <w:rFonts w:ascii="Arial" w:cs="Arial" w:eastAsia="Arial" w:hAnsi="Arial"/>
              <w:color w:val="000000"/>
              <w:sz w:val="18"/>
              <w:szCs w:val="18"/>
              <w:rtl w:val="0"/>
            </w:rPr>
            <w:t xml:space="preserve"> de </w:t>
          </w:r>
          <w:r w:rsidDel="00000000" w:rsidR="00000000" w:rsidRPr="00000000">
            <w:rPr>
              <w:rFonts w:ascii="Arial" w:cs="Arial" w:eastAsia="Arial" w:hAnsi="Arial"/>
              <w:color w:val="000000"/>
              <w:sz w:val="18"/>
              <w:szCs w:val="18"/>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jc w:val="center"/>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bCs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character" w:styleId="EncabezadoCar" w:customStyle="1">
    <w:name w:val="Encabezado Car"/>
    <w:basedOn w:val="Fuentedeprrafopredeter"/>
    <w:link w:val="Encabezado"/>
    <w:uiPriority w:val="99"/>
    <w:qFormat w:val="1"/>
    <w:rsid w:val="000F4EB2"/>
  </w:style>
  <w:style w:type="character" w:styleId="PiedepginaCar" w:customStyle="1">
    <w:name w:val="Pie de página Car"/>
    <w:basedOn w:val="Fuentedeprrafopredeter"/>
    <w:link w:val="Piedepgina"/>
    <w:uiPriority w:val="99"/>
    <w:qFormat w:val="1"/>
    <w:rsid w:val="000F4EB2"/>
  </w:style>
  <w:style w:type="paragraph" w:styleId="Textoindependiente">
    <w:name w:val="Body Text"/>
    <w:basedOn w:val="Normal"/>
    <w:pPr>
      <w:spacing w:after="140" w:line="276" w:lineRule="auto"/>
    </w:pPr>
  </w:style>
  <w:style w:type="paragraph" w:styleId="Lista">
    <w:name w:val="List"/>
    <w:basedOn w:val="Textoindependiente"/>
    <w:rPr>
      <w:rFonts w:cs="Lucida Sans"/>
    </w:rPr>
  </w:style>
  <w:style w:type="paragraph" w:styleId="Descripcin">
    <w:name w:val="caption"/>
    <w:basedOn w:val="Normal"/>
    <w:qFormat w:val="1"/>
    <w:pPr>
      <w:suppressLineNumbers w:val="1"/>
      <w:spacing w:after="120" w:before="120"/>
    </w:pPr>
    <w:rPr>
      <w:rFonts w:cs="Lucida Sans"/>
      <w:i w:val="1"/>
      <w:iCs w:val="1"/>
      <w:sz w:val="24"/>
      <w:szCs w:val="24"/>
    </w:rPr>
  </w:style>
  <w:style w:type="paragraph" w:styleId="ndice" w:customStyle="1">
    <w:name w:val="Índice"/>
    <w:basedOn w:val="Normal"/>
    <w:qFormat w:val="1"/>
    <w:pPr>
      <w:suppressLineNumbers w:val="1"/>
    </w:pPr>
    <w:rPr>
      <w:rFonts w:cs="Lucida Sans"/>
    </w:rPr>
  </w:style>
  <w:style w:type="paragraph" w:styleId="Prrafodelista">
    <w:name w:val="List Paragraph"/>
    <w:basedOn w:val="Normal"/>
    <w:uiPriority w:val="34"/>
    <w:qFormat w:val="1"/>
    <w:rsid w:val="00E6118A"/>
    <w:pPr>
      <w:ind w:left="720"/>
      <w:contextualSpacing w:val="1"/>
    </w:pPr>
  </w:style>
  <w:style w:type="paragraph" w:styleId="Textbody" w:customStyle="1">
    <w:name w:val="Text body"/>
    <w:basedOn w:val="Normal"/>
    <w:qFormat w:val="1"/>
    <w:rsid w:val="00A2659D"/>
    <w:pPr>
      <w:widowControl w:val="0"/>
      <w:suppressAutoHyphens w:val="1"/>
      <w:spacing w:after="140" w:line="288" w:lineRule="auto"/>
    </w:pPr>
    <w:rPr>
      <w:rFonts w:ascii="Times New Roman" w:cs="Times New Roman" w:eastAsia="Times New Roman" w:hAnsi="Times New Roman"/>
      <w:kern w:val="2"/>
      <w:sz w:val="20"/>
      <w:szCs w:val="20"/>
      <w:lang w:bidi="es-ES" w:eastAsia="es-ES" w:val="es-ES"/>
    </w:rPr>
  </w:style>
  <w:style w:type="paragraph" w:styleId="Cabeceraypie" w:customStyle="1">
    <w:name w:val="Cabecera y pie"/>
    <w:basedOn w:val="Normal"/>
    <w:qFormat w:val="1"/>
  </w:style>
  <w:style w:type="paragraph" w:styleId="Encabezado">
    <w:name w:val="header"/>
    <w:basedOn w:val="Normal"/>
    <w:link w:val="EncabezadoCar"/>
    <w:uiPriority w:val="99"/>
    <w:unhideWhenUsed w:val="1"/>
    <w:rsid w:val="000F4EB2"/>
    <w:pPr>
      <w:tabs>
        <w:tab w:val="center" w:pos="4252"/>
        <w:tab w:val="right" w:pos="8504"/>
      </w:tabs>
      <w:spacing w:after="0" w:line="240" w:lineRule="auto"/>
    </w:pPr>
  </w:style>
  <w:style w:type="paragraph" w:styleId="Piedepgina">
    <w:name w:val="footer"/>
    <w:basedOn w:val="Normal"/>
    <w:link w:val="PiedepginaCar"/>
    <w:uiPriority w:val="99"/>
    <w:unhideWhenUsed w:val="1"/>
    <w:rsid w:val="000F4EB2"/>
    <w:pPr>
      <w:tabs>
        <w:tab w:val="center" w:pos="4252"/>
        <w:tab w:val="right" w:pos="8504"/>
      </w:tabs>
      <w:spacing w:after="0" w:line="240" w:lineRule="auto"/>
    </w:pPr>
  </w:style>
  <w:style w:type="paragraph" w:styleId="Contenidodelatabla" w:customStyle="1">
    <w:name w:val="Contenido de la tabla"/>
    <w:basedOn w:val="Normal"/>
    <w:qFormat w:val="1"/>
    <w:rsid w:val="000F4EB2"/>
    <w:pPr>
      <w:widowControl w:val="0"/>
      <w:suppressLineNumbers w:val="1"/>
      <w:suppressAutoHyphens w:val="1"/>
      <w:spacing w:after="0" w:line="240" w:lineRule="auto"/>
      <w:textAlignment w:val="baseline"/>
    </w:pPr>
    <w:rPr>
      <w:rFonts w:ascii="Times New Roman" w:cs="Mangal" w:eastAsia="DejaVu Sans" w:hAnsi="Times New Roman"/>
      <w:kern w:val="2"/>
      <w:sz w:val="24"/>
      <w:szCs w:val="24"/>
      <w:lang w:bidi="hi-IN" w:eastAsia="zh-CN"/>
    </w:rPr>
  </w:style>
  <w:style w:type="table" w:styleId="Tablaconcuadrcula">
    <w:name w:val="Table Grid"/>
    <w:basedOn w:val="Tablanormal"/>
    <w:uiPriority w:val="39"/>
    <w:rsid w:val="00E6118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Refdecomentario">
    <w:name w:val="annotation reference"/>
    <w:basedOn w:val="Fuentedeprrafopredeter"/>
    <w:uiPriority w:val="99"/>
    <w:semiHidden w:val="1"/>
    <w:unhideWhenUsed w:val="1"/>
    <w:rsid w:val="00081B36"/>
    <w:rPr>
      <w:sz w:val="16"/>
      <w:szCs w:val="16"/>
    </w:rPr>
  </w:style>
  <w:style w:type="paragraph" w:styleId="Textocomentario">
    <w:name w:val="annotation text"/>
    <w:basedOn w:val="Normal"/>
    <w:link w:val="TextocomentarioCar"/>
    <w:uiPriority w:val="99"/>
    <w:unhideWhenUsed w:val="1"/>
    <w:rsid w:val="00081B36"/>
    <w:pPr>
      <w:spacing w:line="240" w:lineRule="auto"/>
    </w:pPr>
    <w:rPr>
      <w:sz w:val="20"/>
      <w:szCs w:val="20"/>
    </w:rPr>
  </w:style>
  <w:style w:type="character" w:styleId="TextocomentarioCar" w:customStyle="1">
    <w:name w:val="Texto comentario Car"/>
    <w:basedOn w:val="Fuentedeprrafopredeter"/>
    <w:link w:val="Textocomentario"/>
    <w:uiPriority w:val="99"/>
    <w:rsid w:val="00081B36"/>
    <w:rPr>
      <w:sz w:val="20"/>
      <w:szCs w:val="20"/>
    </w:rPr>
  </w:style>
  <w:style w:type="paragraph" w:styleId="Asuntodelcomentario">
    <w:name w:val="annotation subject"/>
    <w:basedOn w:val="Textocomentario"/>
    <w:next w:val="Textocomentario"/>
    <w:link w:val="AsuntodelcomentarioCar"/>
    <w:uiPriority w:val="99"/>
    <w:semiHidden w:val="1"/>
    <w:unhideWhenUsed w:val="1"/>
    <w:rsid w:val="00081B36"/>
    <w:rPr>
      <w:b w:val="1"/>
      <w:bCs w:val="1"/>
    </w:rPr>
  </w:style>
  <w:style w:type="character" w:styleId="AsuntodelcomentarioCar" w:customStyle="1">
    <w:name w:val="Asunto del comentario Car"/>
    <w:basedOn w:val="TextocomentarioCar"/>
    <w:link w:val="Asuntodelcomentario"/>
    <w:uiPriority w:val="99"/>
    <w:semiHidden w:val="1"/>
    <w:rsid w:val="00081B36"/>
    <w:rPr>
      <w:b w:val="1"/>
      <w:bCs w:val="1"/>
      <w:sz w:val="20"/>
      <w:szCs w:val="20"/>
    </w:rPr>
  </w:style>
  <w:style w:type="table" w:styleId="a" w:customStyle="1">
    <w:basedOn w:val="TableNormal1"/>
    <w:tblPr>
      <w:tblStyleRowBandSize w:val="1"/>
      <w:tblStyleColBandSize w:val="1"/>
      <w:tblCellMar>
        <w:top w:w="0.0" w:type="dxa"/>
        <w:left w:w="108.0" w:type="dxa"/>
        <w:bottom w:w="0.0" w:type="dxa"/>
        <w:right w:w="108.0" w:type="dxa"/>
      </w:tblCellMar>
    </w:tblPr>
  </w:style>
  <w:style w:type="table" w:styleId="a0" w:customStyle="1">
    <w:basedOn w:val="TableNormal1"/>
    <w:tblPr>
      <w:tblStyleRowBandSize w:val="1"/>
      <w:tblStyleColBandSize w:val="1"/>
      <w:tblCellMar>
        <w:top w:w="0.0" w:type="dxa"/>
        <w:left w:w="108.0" w:type="dxa"/>
        <w:bottom w:w="0.0" w:type="dxa"/>
        <w:right w:w="108.0" w:type="dxa"/>
      </w:tblCellMar>
    </w:tblPr>
  </w:style>
  <w:style w:type="table" w:styleId="a1" w:customStyle="1">
    <w:basedOn w:val="TableNormal1"/>
    <w:tblPr>
      <w:tblStyleRowBandSize w:val="1"/>
      <w:tblStyleColBandSize w:val="1"/>
      <w:tblCellMar>
        <w:top w:w="0.0" w:type="dxa"/>
        <w:left w:w="108.0" w:type="dxa"/>
        <w:bottom w:w="0.0" w:type="dxa"/>
        <w:right w:w="108.0" w:type="dxa"/>
      </w:tblCellMar>
    </w:tblPr>
  </w:style>
  <w:style w:type="table" w:styleId="a2" w:customStyle="1">
    <w:basedOn w:val="TableNormal1"/>
    <w:tblPr>
      <w:tblStyleRowBandSize w:val="1"/>
      <w:tblStyleColBandSize w:val="1"/>
      <w:tblCellMar>
        <w:top w:w="0.0" w:type="dxa"/>
        <w:left w:w="108.0" w:type="dxa"/>
        <w:bottom w:w="0.0" w:type="dxa"/>
        <w:right w:w="108.0" w:type="dxa"/>
      </w:tblCellMar>
    </w:tblPr>
  </w:style>
  <w:style w:type="table" w:styleId="a3" w:customStyle="1">
    <w:basedOn w:val="TableNormal1"/>
    <w:tblPr>
      <w:tblStyleRowBandSize w:val="1"/>
      <w:tblStyleColBandSize w:val="1"/>
      <w:tblCellMar>
        <w:top w:w="0.0" w:type="dxa"/>
        <w:left w:w="108.0" w:type="dxa"/>
        <w:bottom w:w="0.0" w:type="dxa"/>
        <w:right w:w="108.0" w:type="dxa"/>
      </w:tblCellMar>
    </w:tblPr>
  </w:style>
  <w:style w:type="table" w:styleId="a4" w:customStyle="1">
    <w:basedOn w:val="TableNormal1"/>
    <w:tblPr>
      <w:tblStyleRowBandSize w:val="1"/>
      <w:tblStyleColBandSize w:val="1"/>
      <w:tblCellMar>
        <w:top w:w="0.0" w:type="dxa"/>
        <w:left w:w="108.0" w:type="dxa"/>
        <w:bottom w:w="0.0" w:type="dxa"/>
        <w:right w:w="108.0" w:type="dxa"/>
      </w:tblCellMar>
    </w:tblPr>
  </w:style>
  <w:style w:type="table" w:styleId="a5" w:customStyle="1">
    <w:basedOn w:val="TableNormal1"/>
    <w:tblPr>
      <w:tblStyleRowBandSize w:val="1"/>
      <w:tblStyleColBandSize w:val="1"/>
      <w:tblCellMar>
        <w:top w:w="55.0" w:type="dxa"/>
        <w:left w:w="55.0" w:type="dxa"/>
        <w:bottom w:w="55.0" w:type="dxa"/>
        <w:right w:w="55.0" w:type="dxa"/>
      </w:tblCellMar>
    </w:tblPr>
  </w:style>
  <w:style w:type="paragraph" w:styleId="NormalWeb">
    <w:name w:val="Normal (Web)"/>
    <w:basedOn w:val="Normal"/>
    <w:uiPriority w:val="99"/>
    <w:unhideWhenUsed w:val="1"/>
    <w:rsid w:val="00CF7D94"/>
    <w:pPr>
      <w:spacing w:after="100" w:afterAutospacing="1" w:before="100" w:beforeAutospacing="1" w:line="240" w:lineRule="auto"/>
    </w:pPr>
    <w:rPr>
      <w:rFonts w:ascii="Times New Roman" w:cs="Times New Roman" w:eastAsia="Times New Roman" w:hAnsi="Times New Roman"/>
      <w:sz w:val="24"/>
      <w:szCs w:val="24"/>
    </w:rPr>
  </w:style>
  <w:style w:type="character" w:styleId="Hipervnculo">
    <w:name w:val="Hyperlink"/>
    <w:basedOn w:val="Fuentedeprrafopredeter"/>
    <w:uiPriority w:val="99"/>
    <w:unhideWhenUsed w:val="1"/>
    <w:rsid w:val="00CF7D94"/>
    <w:rPr>
      <w:color w:val="0000ff"/>
      <w:u w:val="single"/>
    </w:rPr>
  </w:style>
  <w:style w:type="table" w:styleId="a6" w:customStyle="1">
    <w:basedOn w:val="TableNormal1"/>
    <w:tblPr>
      <w:tblStyleRowBandSize w:val="1"/>
      <w:tblStyleColBandSize w:val="1"/>
      <w:tblCellMar>
        <w:top w:w="0.0" w:type="dxa"/>
        <w:left w:w="108.0" w:type="dxa"/>
        <w:bottom w:w="0.0" w:type="dxa"/>
        <w:right w:w="108.0" w:type="dxa"/>
      </w:tblCellMar>
    </w:tblPr>
  </w:style>
  <w:style w:type="table" w:styleId="a7" w:customStyle="1">
    <w:basedOn w:val="TableNormal1"/>
    <w:tblPr>
      <w:tblStyleRowBandSize w:val="1"/>
      <w:tblStyleColBandSize w:val="1"/>
      <w:tblCellMar>
        <w:top w:w="0.0" w:type="dxa"/>
        <w:left w:w="108.0" w:type="dxa"/>
        <w:bottom w:w="0.0" w:type="dxa"/>
        <w:right w:w="108.0" w:type="dxa"/>
      </w:tblCellMar>
    </w:tblPr>
  </w:style>
  <w:style w:type="table" w:styleId="a8" w:customStyle="1">
    <w:basedOn w:val="TableNormal1"/>
    <w:tblPr>
      <w:tblStyleRowBandSize w:val="1"/>
      <w:tblStyleColBandSize w:val="1"/>
      <w:tblCellMar>
        <w:top w:w="0.0" w:type="dxa"/>
        <w:left w:w="108.0" w:type="dxa"/>
        <w:bottom w:w="0.0" w:type="dxa"/>
        <w:right w:w="108.0" w:type="dxa"/>
      </w:tblCellMar>
    </w:tblPr>
  </w:style>
  <w:style w:type="table" w:styleId="a9" w:customStyle="1">
    <w:basedOn w:val="TableNormal1"/>
    <w:tblPr>
      <w:tblStyleRowBandSize w:val="1"/>
      <w:tblStyleColBandSize w:val="1"/>
      <w:tblCellMar>
        <w:top w:w="0.0" w:type="dxa"/>
        <w:left w:w="108.0" w:type="dxa"/>
        <w:bottom w:w="0.0" w:type="dxa"/>
        <w:right w:w="108.0" w:type="dxa"/>
      </w:tblCellMar>
    </w:tblPr>
  </w:style>
  <w:style w:type="table" w:styleId="aa" w:customStyle="1">
    <w:basedOn w:val="TableNormal1"/>
    <w:tblPr>
      <w:tblStyleRowBandSize w:val="1"/>
      <w:tblStyleColBandSize w:val="1"/>
      <w:tblCellMar>
        <w:top w:w="0.0" w:type="dxa"/>
        <w:left w:w="108.0" w:type="dxa"/>
        <w:bottom w:w="0.0" w:type="dxa"/>
        <w:right w:w="108.0" w:type="dxa"/>
      </w:tblCellMar>
    </w:tblPr>
  </w:style>
  <w:style w:type="table" w:styleId="ab" w:customStyle="1">
    <w:basedOn w:val="TableNormal1"/>
    <w:tblPr>
      <w:tblStyleRowBandSize w:val="1"/>
      <w:tblStyleColBandSize w:val="1"/>
      <w:tblCellMar>
        <w:top w:w="0.0" w:type="dxa"/>
        <w:left w:w="108.0" w:type="dxa"/>
        <w:bottom w:w="0.0" w:type="dxa"/>
        <w:right w:w="108.0" w:type="dxa"/>
      </w:tblCellMar>
    </w:tblPr>
  </w:style>
  <w:style w:type="table" w:styleId="ac" w:customStyle="1">
    <w:basedOn w:val="TableNormal1"/>
    <w:tblPr>
      <w:tblStyleRowBandSize w:val="1"/>
      <w:tblStyleColBandSize w:val="1"/>
      <w:tblCellMar>
        <w:top w:w="0.0" w:type="dxa"/>
        <w:left w:w="108.0" w:type="dxa"/>
        <w:bottom w:w="0.0" w:type="dxa"/>
        <w:right w:w="108.0" w:type="dxa"/>
      </w:tblCellMar>
    </w:tblPr>
  </w:style>
  <w:style w:type="table" w:styleId="ad" w:customStyle="1">
    <w:basedOn w:val="TableNormal1"/>
    <w:tblPr>
      <w:tblStyleRowBandSize w:val="1"/>
      <w:tblStyleColBandSize w:val="1"/>
      <w:tblCellMar>
        <w:top w:w="0.0" w:type="dxa"/>
        <w:left w:w="108.0" w:type="dxa"/>
        <w:bottom w:w="0.0" w:type="dxa"/>
        <w:right w:w="108.0" w:type="dxa"/>
      </w:tblCellMar>
    </w:tblPr>
  </w:style>
  <w:style w:type="table" w:styleId="ae" w:customStyle="1">
    <w:basedOn w:val="TableNormal1"/>
    <w:tblPr>
      <w:tblStyleRowBandSize w:val="1"/>
      <w:tblStyleColBandSize w:val="1"/>
      <w:tblCellMar>
        <w:top w:w="0.0" w:type="dxa"/>
        <w:left w:w="108.0" w:type="dxa"/>
        <w:bottom w:w="0.0" w:type="dxa"/>
        <w:right w:w="108.0" w:type="dxa"/>
      </w:tblCellMar>
    </w:tblPr>
  </w:style>
  <w:style w:type="table" w:styleId="af" w:customStyle="1">
    <w:basedOn w:val="TableNormal1"/>
    <w:tblPr>
      <w:tblStyleRowBandSize w:val="1"/>
      <w:tblStyleColBandSize w:val="1"/>
      <w:tblCellMar>
        <w:top w:w="0.0" w:type="dxa"/>
        <w:left w:w="108.0" w:type="dxa"/>
        <w:bottom w:w="0.0" w:type="dxa"/>
        <w:right w:w="108.0" w:type="dxa"/>
      </w:tblCellMar>
    </w:tblPr>
  </w:style>
  <w:style w:type="table" w:styleId="af0" w:customStyle="1">
    <w:basedOn w:val="TableNormal1"/>
    <w:tblPr>
      <w:tblStyleRowBandSize w:val="1"/>
      <w:tblStyleColBandSize w:val="1"/>
      <w:tblCellMar>
        <w:top w:w="0.0" w:type="dxa"/>
        <w:left w:w="108.0" w:type="dxa"/>
        <w:bottom w:w="0.0" w:type="dxa"/>
        <w:right w:w="108.0" w:type="dxa"/>
      </w:tblCellMar>
    </w:tblPr>
  </w:style>
  <w:style w:type="table" w:styleId="af1" w:customStyle="1">
    <w:basedOn w:val="TableNormal1"/>
    <w:tblPr>
      <w:tblStyleRowBandSize w:val="1"/>
      <w:tblStyleColBandSize w:val="1"/>
      <w:tblCellMar>
        <w:top w:w="0.0" w:type="dxa"/>
        <w:left w:w="108.0" w:type="dxa"/>
        <w:bottom w:w="0.0" w:type="dxa"/>
        <w:right w:w="108.0" w:type="dxa"/>
      </w:tblCellMar>
    </w:tblPr>
  </w:style>
  <w:style w:type="table" w:styleId="af2" w:customStyle="1">
    <w:basedOn w:val="TableNormal1"/>
    <w:tblPr>
      <w:tblStyleRowBandSize w:val="1"/>
      <w:tblStyleColBandSize w:val="1"/>
      <w:tblCellMar>
        <w:top w:w="0.0" w:type="dxa"/>
        <w:left w:w="108.0" w:type="dxa"/>
        <w:bottom w:w="0.0" w:type="dxa"/>
        <w:right w:w="108.0" w:type="dxa"/>
      </w:tblCellMar>
    </w:tblPr>
  </w:style>
  <w:style w:type="table" w:styleId="af3" w:customStyle="1">
    <w:basedOn w:val="TableNormal1"/>
    <w:tblPr>
      <w:tblStyleRowBandSize w:val="1"/>
      <w:tblStyleColBandSize w:val="1"/>
      <w:tblCellMar>
        <w:top w:w="0.0" w:type="dxa"/>
        <w:left w:w="108.0" w:type="dxa"/>
        <w:bottom w:w="0.0" w:type="dxa"/>
        <w:right w:w="108.0" w:type="dxa"/>
      </w:tblCellMar>
    </w:tblPr>
  </w:style>
  <w:style w:type="table" w:styleId="af4" w:customStyle="1">
    <w:basedOn w:val="TableNormal1"/>
    <w:tblPr>
      <w:tblStyleRowBandSize w:val="1"/>
      <w:tblStyleColBandSize w:val="1"/>
      <w:tblCellMar>
        <w:top w:w="15.0" w:type="dxa"/>
        <w:left w:w="15.0" w:type="dxa"/>
        <w:bottom w:w="15.0" w:type="dxa"/>
        <w:right w:w="15.0" w:type="dxa"/>
      </w:tblCellMar>
    </w:tblPr>
  </w:style>
  <w:style w:type="table" w:styleId="af5" w:customStyle="1">
    <w:basedOn w:val="TableNormal1"/>
    <w:tblPr>
      <w:tblStyleRowBandSize w:val="1"/>
      <w:tblStyleColBandSize w:val="1"/>
      <w:tblCellMar>
        <w:top w:w="55.0" w:type="dxa"/>
        <w:left w:w="55.0" w:type="dxa"/>
        <w:bottom w:w="55.0" w:type="dxa"/>
        <w:right w:w="55.0" w:type="dxa"/>
      </w:tblCellMar>
    </w:tblPr>
  </w:style>
  <w:style w:type="character" w:styleId="Mencinsinresolver">
    <w:name w:val="Unresolved Mention"/>
    <w:basedOn w:val="Fuentedeprrafopredeter"/>
    <w:uiPriority w:val="99"/>
    <w:semiHidden w:val="1"/>
    <w:unhideWhenUsed w:val="1"/>
    <w:rsid w:val="00627CB0"/>
    <w:rPr>
      <w:color w:val="605e5c"/>
      <w:shd w:color="auto" w:fill="e1dfdd" w:val="clear"/>
    </w:rPr>
  </w:style>
  <w:style w:type="table" w:styleId="af6" w:customStyle="1">
    <w:basedOn w:val="TableNormal0"/>
    <w:tblPr>
      <w:tblStyleRowBandSize w:val="1"/>
      <w:tblStyleColBandSize w:val="1"/>
      <w:tblCellMar>
        <w:top w:w="0.0" w:type="dxa"/>
        <w:left w:w="108.0" w:type="dxa"/>
        <w:bottom w:w="0.0" w:type="dxa"/>
        <w:right w:w="108.0" w:type="dxa"/>
      </w:tblCellMar>
    </w:tblPr>
  </w:style>
  <w:style w:type="table" w:styleId="af7" w:customStyle="1">
    <w:basedOn w:val="TableNormal0"/>
    <w:tblPr>
      <w:tblStyleRowBandSize w:val="1"/>
      <w:tblStyleColBandSize w:val="1"/>
      <w:tblCellMar>
        <w:top w:w="0.0" w:type="dxa"/>
        <w:left w:w="108.0" w:type="dxa"/>
        <w:bottom w:w="0.0" w:type="dxa"/>
        <w:right w:w="108.0" w:type="dxa"/>
      </w:tblCellMar>
    </w:tblPr>
  </w:style>
  <w:style w:type="table" w:styleId="af8" w:customStyle="1">
    <w:basedOn w:val="TableNormal0"/>
    <w:tblPr>
      <w:tblStyleRowBandSize w:val="1"/>
      <w:tblStyleColBandSize w:val="1"/>
      <w:tblCellMar>
        <w:top w:w="0.0" w:type="dxa"/>
        <w:left w:w="108.0" w:type="dxa"/>
        <w:bottom w:w="0.0" w:type="dxa"/>
        <w:right w:w="108.0" w:type="dxa"/>
      </w:tblCellMar>
    </w:tblPr>
  </w:style>
  <w:style w:type="table" w:styleId="af9" w:customStyle="1">
    <w:basedOn w:val="TableNormal0"/>
    <w:tblPr>
      <w:tblStyleRowBandSize w:val="1"/>
      <w:tblStyleColBandSize w:val="1"/>
      <w:tblCellMar>
        <w:top w:w="0.0" w:type="dxa"/>
        <w:left w:w="108.0" w:type="dxa"/>
        <w:bottom w:w="0.0" w:type="dxa"/>
        <w:right w:w="108.0" w:type="dxa"/>
      </w:tblCellMar>
    </w:tblPr>
  </w:style>
  <w:style w:type="table" w:styleId="afa" w:customStyle="1">
    <w:basedOn w:val="TableNormal0"/>
    <w:tblPr>
      <w:tblStyleRowBandSize w:val="1"/>
      <w:tblStyleColBandSize w:val="1"/>
      <w:tblCellMar>
        <w:top w:w="0.0" w:type="dxa"/>
        <w:left w:w="108.0" w:type="dxa"/>
        <w:bottom w:w="0.0" w:type="dxa"/>
        <w:right w:w="108.0" w:type="dxa"/>
      </w:tblCellMar>
    </w:tblPr>
  </w:style>
  <w:style w:type="table" w:styleId="afb" w:customStyle="1">
    <w:basedOn w:val="TableNormal0"/>
    <w:tblPr>
      <w:tblStyleRowBandSize w:val="1"/>
      <w:tblStyleColBandSize w:val="1"/>
      <w:tblCellMar>
        <w:top w:w="0.0" w:type="dxa"/>
        <w:left w:w="108.0" w:type="dxa"/>
        <w:bottom w:w="0.0" w:type="dxa"/>
        <w:right w:w="108.0" w:type="dxa"/>
      </w:tblCellMar>
    </w:tblPr>
  </w:style>
  <w:style w:type="table" w:styleId="afc" w:customStyle="1">
    <w:basedOn w:val="TableNormal0"/>
    <w:tblPr>
      <w:tblStyleRowBandSize w:val="1"/>
      <w:tblStyleColBandSize w:val="1"/>
      <w:tblCellMar>
        <w:top w:w="0.0" w:type="dxa"/>
        <w:left w:w="108.0" w:type="dxa"/>
        <w:bottom w:w="0.0" w:type="dxa"/>
        <w:right w:w="108.0" w:type="dxa"/>
      </w:tblCellMar>
    </w:tblPr>
  </w:style>
  <w:style w:type="table" w:styleId="afd" w:customStyle="1">
    <w:basedOn w:val="TableNormal0"/>
    <w:tblPr>
      <w:tblStyleRowBandSize w:val="1"/>
      <w:tblStyleColBandSize w:val="1"/>
      <w:tblCellMar>
        <w:top w:w="0.0" w:type="dxa"/>
        <w:left w:w="108.0" w:type="dxa"/>
        <w:bottom w:w="0.0" w:type="dxa"/>
        <w:right w:w="108.0" w:type="dxa"/>
      </w:tblCellMar>
    </w:tblPr>
  </w:style>
  <w:style w:type="table" w:styleId="afe" w:customStyle="1">
    <w:basedOn w:val="TableNormal0"/>
    <w:tblPr>
      <w:tblStyleRowBandSize w:val="1"/>
      <w:tblStyleColBandSize w:val="1"/>
      <w:tblCellMar>
        <w:top w:w="0.0" w:type="dxa"/>
        <w:left w:w="108.0" w:type="dxa"/>
        <w:bottom w:w="0.0" w:type="dxa"/>
        <w:right w:w="108.0" w:type="dxa"/>
      </w:tblCellMar>
    </w:tblPr>
  </w:style>
  <w:style w:type="table" w:styleId="aff" w:customStyle="1">
    <w:basedOn w:val="TableNormal0"/>
    <w:tblPr>
      <w:tblStyleRowBandSize w:val="1"/>
      <w:tblStyleColBandSize w:val="1"/>
      <w:tblCellMar>
        <w:top w:w="0.0" w:type="dxa"/>
        <w:left w:w="108.0" w:type="dxa"/>
        <w:bottom w:w="0.0" w:type="dxa"/>
        <w:right w:w="108.0" w:type="dxa"/>
      </w:tblCellMar>
    </w:tblPr>
  </w:style>
  <w:style w:type="table" w:styleId="aff0" w:customStyle="1">
    <w:basedOn w:val="TableNormal0"/>
    <w:tblPr>
      <w:tblStyleRowBandSize w:val="1"/>
      <w:tblStyleColBandSize w:val="1"/>
      <w:tblCellMar>
        <w:top w:w="0.0" w:type="dxa"/>
        <w:left w:w="108.0" w:type="dxa"/>
        <w:bottom w:w="0.0" w:type="dxa"/>
        <w:right w:w="108.0" w:type="dxa"/>
      </w:tblCellMar>
    </w:tblPr>
  </w:style>
  <w:style w:type="table" w:styleId="aff1" w:customStyle="1">
    <w:basedOn w:val="TableNormal0"/>
    <w:tblPr>
      <w:tblStyleRowBandSize w:val="1"/>
      <w:tblStyleColBandSize w:val="1"/>
      <w:tblCellMar>
        <w:top w:w="0.0" w:type="dxa"/>
        <w:left w:w="108.0" w:type="dxa"/>
        <w:bottom w:w="0.0" w:type="dxa"/>
        <w:right w:w="108.0" w:type="dxa"/>
      </w:tblCellMar>
    </w:tblPr>
  </w:style>
  <w:style w:type="table" w:styleId="aff2" w:customStyle="1">
    <w:basedOn w:val="TableNormal0"/>
    <w:tblPr>
      <w:tblStyleRowBandSize w:val="1"/>
      <w:tblStyleColBandSize w:val="1"/>
      <w:tblCellMar>
        <w:top w:w="0.0" w:type="dxa"/>
        <w:left w:w="108.0" w:type="dxa"/>
        <w:bottom w:w="0.0" w:type="dxa"/>
        <w:right w:w="108.0" w:type="dxa"/>
      </w:tblCellMar>
    </w:tblPr>
  </w:style>
  <w:style w:type="table" w:styleId="aff3" w:customStyle="1">
    <w:basedOn w:val="TableNormal0"/>
    <w:tblPr>
      <w:tblStyleRowBandSize w:val="1"/>
      <w:tblStyleColBandSize w:val="1"/>
      <w:tblCellMar>
        <w:top w:w="0.0" w:type="dxa"/>
        <w:left w:w="108.0" w:type="dxa"/>
        <w:bottom w:w="0.0" w:type="dxa"/>
        <w:right w:w="108.0" w:type="dxa"/>
      </w:tblCellMar>
    </w:tblPr>
  </w:style>
  <w:style w:type="table" w:styleId="aff4" w:customStyle="1">
    <w:basedOn w:val="TableNormal0"/>
    <w:tblPr>
      <w:tblStyleRowBandSize w:val="1"/>
      <w:tblStyleColBandSize w:val="1"/>
      <w:tblCellMar>
        <w:top w:w="15.0" w:type="dxa"/>
        <w:left w:w="15.0" w:type="dxa"/>
        <w:bottom w:w="15.0" w:type="dxa"/>
        <w:right w:w="15.0" w:type="dxa"/>
      </w:tblCellMar>
    </w:tblPr>
  </w:style>
  <w:style w:type="table" w:styleId="aff5" w:customStyle="1">
    <w:basedOn w:val="TableNormal0"/>
    <w:tblPr>
      <w:tblStyleRowBandSize w:val="1"/>
      <w:tblStyleColBandSize w:val="1"/>
      <w:tblCellMar>
        <w:top w:w="55.0" w:type="dxa"/>
        <w:left w:w="55.0" w:type="dxa"/>
        <w:bottom w:w="55.0" w:type="dxa"/>
        <w:right w:w="5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15.0" w:type="dxa"/>
        <w:left w:w="15.0" w:type="dxa"/>
        <w:bottom w:w="15.0" w:type="dxa"/>
        <w:right w:w="15.0" w:type="dxa"/>
      </w:tblCellMar>
    </w:tblPr>
  </w:style>
  <w:style w:type="table" w:styleId="Table16">
    <w:basedOn w:val="TableNormal"/>
    <w:tblPr>
      <w:tblStyleRowBandSize w:val="1"/>
      <w:tblStyleColBandSize w:val="1"/>
      <w:tblCellMar>
        <w:top w:w="55.0" w:type="dxa"/>
        <w:left w:w="55.0" w:type="dxa"/>
        <w:bottom w:w="55.0" w:type="dxa"/>
        <w:right w:w="5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ocs.google.com/spreadsheets/d/11CgkkQH2bsRsHCTCKwA_DuXy81tXaGRWZdRGMvumv3M/edit?pli=1&amp;gid=1028933370#gid=1028933370" TargetMode="External"/><Relationship Id="rId10" Type="http://schemas.openxmlformats.org/officeDocument/2006/relationships/hyperlink" Target="https://drive.google.com/drive/folders/14sWAOGGATJs864btrab5hKixn3KQhXQk?usp=sharing" TargetMode="External"/><Relationship Id="rId13" Type="http://schemas.openxmlformats.org/officeDocument/2006/relationships/header" Target="header2.xml"/><Relationship Id="rId12" Type="http://schemas.openxmlformats.org/officeDocument/2006/relationships/hyperlink" Target="https://www.youtube.com/watch?v=SCqGFfkYv7s&amp;list=PL2Lpk8Cly91Kv1-dSrpCQ82Nmko51e4q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drive/folders/1Nc2uhKJctRyUnfznJGimY_BFNL_67Su-?usp=drive_link" TargetMode="External"/><Relationship Id="rId15" Type="http://schemas.openxmlformats.org/officeDocument/2006/relationships/header" Target="header1.xml"/><Relationship Id="rId14" Type="http://schemas.openxmlformats.org/officeDocument/2006/relationships/header" Target="header3.xml"/><Relationship Id="rId17" Type="http://schemas.openxmlformats.org/officeDocument/2006/relationships/footer" Target="footer3.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1.xml"/><Relationship Id="rId7" Type="http://schemas.openxmlformats.org/officeDocument/2006/relationships/hyperlink" Target="https://docs.google.com/spreadsheets/d/1SkzSlINJPpQuOfFd2uWO8uA2Vm-Emdk-WRklE2ulI7A/edit?usp=drive_link" TargetMode="External"/><Relationship Id="rId8" Type="http://schemas.openxmlformats.org/officeDocument/2006/relationships/hyperlink" Target="https://drive.google.com/drive/folders/1dXuoWyr6Y217GbpEcjME8OpFfsHKAnmg?usp=drive_lin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2rql2VZzfCZLgQ2B/0RlWwfmrQ==">CgMxLjA4AHIhMWVYbkhEek96X1B5V01DTlRkRFF3NVY0R1NfZmYyQUV3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2025-12-23T21:11:00Z</dcterms:created>
  <dc:creator>Edna Cortes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